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3B15" w14:textId="1BA20CE3" w:rsidR="00B2671A" w:rsidRDefault="00C14871">
      <w:r>
        <w:t>Checklist for Hospital Investigation for COVID-19</w:t>
      </w:r>
    </w:p>
    <w:p w14:paraId="32D52D01" w14:textId="372C5AF7" w:rsidR="00C14871" w:rsidRDefault="00C14871"/>
    <w:p w14:paraId="06CD2EA2" w14:textId="4B44C65F" w:rsidR="00C14871" w:rsidRDefault="00C14871" w:rsidP="00C14871">
      <w:pPr>
        <w:pStyle w:val="ListParagraph"/>
        <w:numPr>
          <w:ilvl w:val="0"/>
          <w:numId w:val="1"/>
        </w:numPr>
      </w:pPr>
      <w:r>
        <w:t>Identify if patient arrived by personal vehicle, EMS, or other means (If EMS, will need to reach out to service for contacts and PPE/IPC measures used)</w:t>
      </w:r>
    </w:p>
    <w:p w14:paraId="18F57537" w14:textId="77777777" w:rsidR="00C14871" w:rsidRDefault="00C14871"/>
    <w:p w14:paraId="3BAA7E86" w14:textId="1EE1422F" w:rsidR="00C14871" w:rsidRDefault="00C14871" w:rsidP="00C14871">
      <w:pPr>
        <w:pStyle w:val="ListParagraph"/>
        <w:numPr>
          <w:ilvl w:val="0"/>
          <w:numId w:val="1"/>
        </w:numPr>
      </w:pPr>
      <w:r>
        <w:t xml:space="preserve">Identify all healthcare personnel (HCP) who have had contact with patient or </w:t>
      </w:r>
      <w:proofErr w:type="gramStart"/>
      <w:r>
        <w:t>in patient</w:t>
      </w:r>
      <w:proofErr w:type="gramEnd"/>
      <w:r>
        <w:t xml:space="preserve"> room since admission</w:t>
      </w:r>
    </w:p>
    <w:p w14:paraId="77D2C737" w14:textId="7E83C7C1" w:rsidR="00C14871" w:rsidRDefault="00C14871" w:rsidP="00C14871">
      <w:pPr>
        <w:pStyle w:val="ListParagraph"/>
        <w:numPr>
          <w:ilvl w:val="1"/>
          <w:numId w:val="1"/>
        </w:numPr>
      </w:pPr>
      <w:r>
        <w:t xml:space="preserve">Providers, nurses, medical assistants, patient care techs, EVS, dietary services, radiology staff, contracting staff (who removes sharps containers, </w:t>
      </w:r>
      <w:proofErr w:type="spellStart"/>
      <w:r>
        <w:t>etc</w:t>
      </w:r>
      <w:proofErr w:type="spellEnd"/>
      <w:r>
        <w:t>), security officers, chaplains, behavioral therapists, clerks, other ancillary staff with access to patients</w:t>
      </w:r>
      <w:r w:rsidR="0070664C">
        <w:t>. Include laboratory staff who have processed patient specimens</w:t>
      </w:r>
    </w:p>
    <w:p w14:paraId="56E526E0" w14:textId="75315FA3" w:rsidR="00C14871" w:rsidRDefault="00C14871" w:rsidP="00C14871">
      <w:pPr>
        <w:pStyle w:val="ListParagraph"/>
        <w:numPr>
          <w:ilvl w:val="2"/>
          <w:numId w:val="1"/>
        </w:numPr>
      </w:pPr>
      <w:r>
        <w:t>Consider time stamps on entrance, triage, move to room, admit or transfer to floor to narrow list and identify all</w:t>
      </w:r>
    </w:p>
    <w:p w14:paraId="6DD932D7" w14:textId="6F2034DF" w:rsidR="00C14871" w:rsidRDefault="00C14871" w:rsidP="00C14871">
      <w:pPr>
        <w:pStyle w:val="ListParagraph"/>
        <w:numPr>
          <w:ilvl w:val="2"/>
          <w:numId w:val="1"/>
        </w:numPr>
      </w:pPr>
      <w:r>
        <w:t>Consider security footage review for areas of patient movement to ensure all HCP identified</w:t>
      </w:r>
    </w:p>
    <w:p w14:paraId="419947A6" w14:textId="1755287D" w:rsidR="00C14871" w:rsidRDefault="00C14871" w:rsidP="00C14871">
      <w:pPr>
        <w:pStyle w:val="ListParagraph"/>
        <w:numPr>
          <w:ilvl w:val="1"/>
          <w:numId w:val="1"/>
        </w:numPr>
      </w:pPr>
      <w:r>
        <w:t>Determine exposure risk of all identified HCP</w:t>
      </w:r>
      <w:r w:rsidR="00B155B8">
        <w:t xml:space="preserve"> (if capacity allows)</w:t>
      </w:r>
    </w:p>
    <w:p w14:paraId="6B97D4BF" w14:textId="0EC8418A" w:rsidR="0070664C" w:rsidRDefault="0070664C" w:rsidP="0070664C">
      <w:pPr>
        <w:pStyle w:val="ListParagraph"/>
        <w:numPr>
          <w:ilvl w:val="2"/>
          <w:numId w:val="1"/>
        </w:numPr>
      </w:pPr>
      <w:r>
        <w:t>Identify staff/POC to perform HCP risk assessments</w:t>
      </w:r>
    </w:p>
    <w:p w14:paraId="389CB517" w14:textId="1373CCA2" w:rsidR="00C14871" w:rsidRDefault="00C14871" w:rsidP="00C14871">
      <w:pPr>
        <w:pStyle w:val="ListParagraph"/>
        <w:numPr>
          <w:ilvl w:val="2"/>
          <w:numId w:val="1"/>
        </w:numPr>
      </w:pPr>
      <w:r>
        <w:t xml:space="preserve">Use HCP risk assessment tool: </w:t>
      </w:r>
      <w:r w:rsidR="006B6369">
        <w:t>attached</w:t>
      </w:r>
    </w:p>
    <w:p w14:paraId="1E8A520F" w14:textId="1CB73644" w:rsidR="00640730" w:rsidRDefault="00C14871" w:rsidP="00640730">
      <w:pPr>
        <w:pStyle w:val="ListParagraph"/>
        <w:numPr>
          <w:ilvl w:val="2"/>
          <w:numId w:val="1"/>
        </w:numPr>
      </w:pPr>
      <w:r>
        <w:t>Use CDC interim HCP guidance to determine risk category</w:t>
      </w:r>
      <w:r w:rsidR="0070664C">
        <w:t>:</w:t>
      </w:r>
      <w:r w:rsidR="0070664C" w:rsidRPr="0070664C">
        <w:t xml:space="preserve"> </w:t>
      </w:r>
      <w:hyperlink r:id="rId5" w:history="1">
        <w:r w:rsidR="0070664C" w:rsidRPr="0004276C">
          <w:rPr>
            <w:rStyle w:val="Hyperlink"/>
          </w:rPr>
          <w:t>https://www.cdc.gov/coronavirus/2019-ncov/hcp/guidance-risk-assesment-hcp.html</w:t>
        </w:r>
      </w:hyperlink>
    </w:p>
    <w:p w14:paraId="154DBB34" w14:textId="16E278C4" w:rsidR="00C14871" w:rsidRDefault="00C14871" w:rsidP="00C14871">
      <w:pPr>
        <w:pStyle w:val="ListParagraph"/>
        <w:numPr>
          <w:ilvl w:val="1"/>
          <w:numId w:val="1"/>
        </w:numPr>
      </w:pPr>
      <w:r>
        <w:t>Determine your policy for work restriction of HCP based on risk-assessment</w:t>
      </w:r>
    </w:p>
    <w:p w14:paraId="093FC44F" w14:textId="2909F8CA" w:rsidR="0070664C" w:rsidRDefault="0070664C" w:rsidP="0070664C">
      <w:pPr>
        <w:pStyle w:val="ListParagraph"/>
        <w:numPr>
          <w:ilvl w:val="2"/>
          <w:numId w:val="1"/>
        </w:numPr>
      </w:pPr>
      <w:r>
        <w:t>Identify staff/POC for HCP to communicate work restriction policy and recommendations</w:t>
      </w:r>
    </w:p>
    <w:p w14:paraId="03013450" w14:textId="429A105C" w:rsidR="00C14871" w:rsidRDefault="00C14871" w:rsidP="00C14871">
      <w:pPr>
        <w:pStyle w:val="ListParagraph"/>
        <w:numPr>
          <w:ilvl w:val="2"/>
          <w:numId w:val="1"/>
        </w:numPr>
      </w:pPr>
      <w:r>
        <w:t xml:space="preserve">CDC provides best practice recommendations for Medium or </w:t>
      </w:r>
      <w:proofErr w:type="gramStart"/>
      <w:r>
        <w:t>High Risk</w:t>
      </w:r>
      <w:proofErr w:type="gramEnd"/>
      <w:r>
        <w:t xml:space="preserve"> exposures to be work restricted</w:t>
      </w:r>
    </w:p>
    <w:p w14:paraId="2B72639A" w14:textId="15888F20" w:rsidR="00C14871" w:rsidRDefault="00C14871" w:rsidP="00C14871">
      <w:pPr>
        <w:pStyle w:val="ListParagraph"/>
        <w:numPr>
          <w:ilvl w:val="2"/>
          <w:numId w:val="1"/>
        </w:numPr>
      </w:pPr>
      <w:r>
        <w:t xml:space="preserve">CDC also provides allowances for return to work of Medium or </w:t>
      </w:r>
      <w:proofErr w:type="gramStart"/>
      <w:r>
        <w:t>High Risk</w:t>
      </w:r>
      <w:proofErr w:type="gramEnd"/>
      <w:r>
        <w:t xml:space="preserve"> HCP who are asymptomatic if these individuals are needed to </w:t>
      </w:r>
      <w:r w:rsidR="0070664C">
        <w:t>continue facility functions</w:t>
      </w:r>
      <w:r w:rsidR="00640730">
        <w:t>. (See table below)</w:t>
      </w:r>
    </w:p>
    <w:p w14:paraId="773642AF" w14:textId="5BF92BBE" w:rsidR="00640730" w:rsidRDefault="00640730" w:rsidP="00640730">
      <w:pPr>
        <w:pStyle w:val="ListParagraph"/>
        <w:numPr>
          <w:ilvl w:val="3"/>
          <w:numId w:val="1"/>
        </w:numPr>
      </w:pPr>
      <w:r>
        <w:t>This is specific for areas with community transmission, which is currently ongoing in Chicago.</w:t>
      </w:r>
    </w:p>
    <w:p w14:paraId="4ABA51A5" w14:textId="34F6B09E" w:rsidR="0070664C" w:rsidRDefault="0070664C" w:rsidP="00C14871">
      <w:pPr>
        <w:pStyle w:val="ListParagraph"/>
        <w:numPr>
          <w:ilvl w:val="2"/>
          <w:numId w:val="1"/>
        </w:numPr>
      </w:pPr>
      <w:r>
        <w:t>CDC provides best practice guidance on symptom monitoring with delegated supervision</w:t>
      </w:r>
    </w:p>
    <w:p w14:paraId="76E27609" w14:textId="6AF61F52" w:rsidR="0070664C" w:rsidRDefault="0070664C" w:rsidP="0070664C">
      <w:pPr>
        <w:pStyle w:val="ListParagraph"/>
        <w:numPr>
          <w:ilvl w:val="3"/>
          <w:numId w:val="1"/>
        </w:numPr>
      </w:pPr>
      <w:r>
        <w:t xml:space="preserve">In Chicago, this </w:t>
      </w:r>
      <w:r w:rsidR="00B155B8">
        <w:t xml:space="preserve">can </w:t>
      </w:r>
      <w:r>
        <w:t xml:space="preserve">involve entry of HCP names and contact information into a </w:t>
      </w:r>
      <w:proofErr w:type="spellStart"/>
      <w:r>
        <w:t>RedCap</w:t>
      </w:r>
      <w:proofErr w:type="spellEnd"/>
      <w:r>
        <w:t xml:space="preserve"> Database which will then provide twice daily email symptoms monitoring</w:t>
      </w:r>
    </w:p>
    <w:p w14:paraId="4DBDD9CA" w14:textId="70838BB0" w:rsidR="0070664C" w:rsidRPr="00B155B8" w:rsidRDefault="00B155B8" w:rsidP="00B155B8">
      <w:pPr>
        <w:pStyle w:val="ListParagraph"/>
        <w:numPr>
          <w:ilvl w:val="3"/>
          <w:numId w:val="1"/>
        </w:numPr>
        <w:rPr>
          <w:b/>
          <w:bCs/>
        </w:rPr>
      </w:pPr>
      <w:r w:rsidRPr="00B155B8">
        <w:rPr>
          <w:b/>
          <w:bCs/>
        </w:rPr>
        <w:t>All</w:t>
      </w:r>
      <w:r w:rsidR="0070664C" w:rsidRPr="00B155B8">
        <w:rPr>
          <w:b/>
          <w:bCs/>
        </w:rPr>
        <w:t xml:space="preserve"> HCP </w:t>
      </w:r>
      <w:r w:rsidRPr="00B155B8">
        <w:rPr>
          <w:b/>
          <w:bCs/>
        </w:rPr>
        <w:t>regardless of exposure should be screened for symptoms before shifts to ensure that no HCP work if they have fever or respiratory symptoms</w:t>
      </w:r>
    </w:p>
    <w:p w14:paraId="12AFAE7A" w14:textId="2461A6D3" w:rsidR="0070664C" w:rsidRDefault="0070664C" w:rsidP="0070664C">
      <w:pPr>
        <w:pStyle w:val="ListParagraph"/>
        <w:numPr>
          <w:ilvl w:val="3"/>
          <w:numId w:val="1"/>
        </w:numPr>
      </w:pPr>
      <w:r>
        <w:t xml:space="preserve">Send email list of occupational health staff performing monitoring to CDPH for access to </w:t>
      </w:r>
      <w:proofErr w:type="spellStart"/>
      <w:r>
        <w:t>RedCap</w:t>
      </w:r>
      <w:proofErr w:type="spellEnd"/>
      <w:r>
        <w:t xml:space="preserve"> database and to enroll exposed HCP. CDPH will provide S</w:t>
      </w:r>
      <w:r w:rsidR="00B155B8">
        <w:t>tandard Operating Procedure</w:t>
      </w:r>
      <w:r>
        <w:t xml:space="preserve"> as well</w:t>
      </w:r>
    </w:p>
    <w:p w14:paraId="72CB2342" w14:textId="77777777" w:rsidR="006B6369" w:rsidRDefault="00ED45C3" w:rsidP="00ED45C3">
      <w:pPr>
        <w:pStyle w:val="ListParagraph"/>
        <w:numPr>
          <w:ilvl w:val="1"/>
          <w:numId w:val="1"/>
        </w:numPr>
      </w:pPr>
      <w:r>
        <w:lastRenderedPageBreak/>
        <w:t>If HCP</w:t>
      </w:r>
      <w:r w:rsidR="006B6369">
        <w:t xml:space="preserve"> reports symptoms, call HCP to review to determine if testing is indicated. Call the HCP’s local health department to review and make determination.</w:t>
      </w:r>
    </w:p>
    <w:p w14:paraId="30CCF8E8" w14:textId="34A4929C" w:rsidR="00ED45C3" w:rsidRDefault="006B6369" w:rsidP="00ED45C3">
      <w:pPr>
        <w:pStyle w:val="ListParagraph"/>
        <w:numPr>
          <w:ilvl w:val="1"/>
          <w:numId w:val="1"/>
        </w:numPr>
      </w:pPr>
      <w:r>
        <w:t>If HCP becomes a</w:t>
      </w:r>
      <w:r w:rsidR="00ED45C3">
        <w:t xml:space="preserve"> PUI during monitoring, HCP should be isolated at home until testing can be performed. Facility can contact HCPs local health department to obtain authorization code (or use a commercial laboratory). Facility should lead testing logistics, CDPH will facilitate.</w:t>
      </w:r>
    </w:p>
    <w:p w14:paraId="40B3DCD2" w14:textId="4F055F52" w:rsidR="00ED45C3" w:rsidRDefault="00ED45C3" w:rsidP="00ED45C3">
      <w:pPr>
        <w:pStyle w:val="ListParagraph"/>
        <w:numPr>
          <w:ilvl w:val="1"/>
          <w:numId w:val="1"/>
        </w:numPr>
      </w:pPr>
      <w:r>
        <w:t>If a patient becomes a PUI and has negative testing for COVID-19, their original recommendations for work restriction</w:t>
      </w:r>
      <w:r w:rsidR="00640730">
        <w:t xml:space="preserve"> (if implemented) </w:t>
      </w:r>
      <w:r>
        <w:t>will resume based on their risk assessment and initial instructions.</w:t>
      </w:r>
    </w:p>
    <w:p w14:paraId="5E9C7C07" w14:textId="09E5DA35" w:rsidR="00ED45C3" w:rsidRDefault="00ED45C3" w:rsidP="00ED45C3">
      <w:pPr>
        <w:pStyle w:val="ListParagraph"/>
        <w:numPr>
          <w:ilvl w:val="1"/>
          <w:numId w:val="1"/>
        </w:numPr>
      </w:pPr>
      <w:r>
        <w:t xml:space="preserve">Occupational health staff should monitor </w:t>
      </w:r>
      <w:proofErr w:type="spellStart"/>
      <w:r>
        <w:t>RedCap</w:t>
      </w:r>
      <w:proofErr w:type="spellEnd"/>
      <w:r>
        <w:t xml:space="preserve"> entries to ensure HCP are completing. Local health departments have access to this</w:t>
      </w:r>
    </w:p>
    <w:p w14:paraId="51F0D3F5" w14:textId="26ED5E19" w:rsidR="00E14785" w:rsidRDefault="00E14785" w:rsidP="00E14785">
      <w:pPr>
        <w:pStyle w:val="ListParagraph"/>
        <w:numPr>
          <w:ilvl w:val="0"/>
          <w:numId w:val="1"/>
        </w:numPr>
      </w:pPr>
      <w:r>
        <w:t>Identify patients with potential exposure to patients with COVID-19</w:t>
      </w:r>
    </w:p>
    <w:p w14:paraId="7B3FA7FD" w14:textId="3987D794" w:rsidR="00E14785" w:rsidRDefault="00E14785" w:rsidP="00E14785">
      <w:pPr>
        <w:pStyle w:val="ListParagraph"/>
        <w:numPr>
          <w:ilvl w:val="1"/>
          <w:numId w:val="1"/>
        </w:numPr>
      </w:pPr>
      <w:r>
        <w:t>This can include those in emergency or clinic waiting rooms, in shared spaces such as non-private patient rooms, physical therapy areas, radiology areas</w:t>
      </w:r>
    </w:p>
    <w:p w14:paraId="2B6619FD" w14:textId="1831D97D" w:rsidR="00E14785" w:rsidRDefault="00E14785" w:rsidP="00E14785">
      <w:pPr>
        <w:pStyle w:val="ListParagraph"/>
        <w:numPr>
          <w:ilvl w:val="2"/>
          <w:numId w:val="1"/>
        </w:numPr>
      </w:pPr>
      <w:r>
        <w:t>Consider using time stamps for ED entry, triage, room assignment, appointment times, etc.</w:t>
      </w:r>
    </w:p>
    <w:p w14:paraId="4B714C0D" w14:textId="1E0F377A" w:rsidR="00E14785" w:rsidRDefault="00E14785" w:rsidP="00E14785">
      <w:pPr>
        <w:pStyle w:val="ListParagraph"/>
        <w:numPr>
          <w:ilvl w:val="2"/>
          <w:numId w:val="1"/>
        </w:numPr>
      </w:pPr>
      <w:r>
        <w:t>Consider security footage to identify other patients within close proximity to patients with COVID-19</w:t>
      </w:r>
    </w:p>
    <w:p w14:paraId="48D0009D" w14:textId="7C0FF3D4" w:rsidR="00E14785" w:rsidRDefault="00640730" w:rsidP="00E14785">
      <w:pPr>
        <w:pStyle w:val="ListParagraph"/>
        <w:numPr>
          <w:ilvl w:val="1"/>
          <w:numId w:val="1"/>
        </w:numPr>
      </w:pPr>
      <w:r>
        <w:t>Patients should be instructed to monitor for fever or respiratory symptoms for 14 days from last exposure and to call their healthcare provider to discuss if testing indicated.</w:t>
      </w:r>
    </w:p>
    <w:p w14:paraId="3BE0871B" w14:textId="7006A80E" w:rsidR="00E14785" w:rsidRDefault="00E14785" w:rsidP="00E14785">
      <w:pPr>
        <w:pStyle w:val="ListParagraph"/>
        <w:numPr>
          <w:ilvl w:val="0"/>
          <w:numId w:val="1"/>
        </w:numPr>
      </w:pPr>
      <w:r>
        <w:t>Return to work policies</w:t>
      </w:r>
    </w:p>
    <w:p w14:paraId="4A6A14C6" w14:textId="26D84C77" w:rsidR="00E14785" w:rsidRDefault="00640730" w:rsidP="00E14785">
      <w:pPr>
        <w:pStyle w:val="ListParagraph"/>
        <w:numPr>
          <w:ilvl w:val="1"/>
          <w:numId w:val="1"/>
        </w:numPr>
      </w:pPr>
      <w:r>
        <w:t>Healthcare facility</w:t>
      </w:r>
      <w:r w:rsidR="00E14785">
        <w:t xml:space="preserve"> staff/POC </w:t>
      </w:r>
      <w:r w:rsidR="006B6369">
        <w:t xml:space="preserve">should communicate return to work processes to HCP. </w:t>
      </w:r>
    </w:p>
    <w:tbl>
      <w:tblPr>
        <w:tblStyle w:val="TableGrid"/>
        <w:tblW w:w="10345" w:type="dxa"/>
        <w:tblLayout w:type="fixed"/>
        <w:tblLook w:val="0000" w:firstRow="0" w:lastRow="0" w:firstColumn="0" w:lastColumn="0" w:noHBand="0" w:noVBand="0"/>
      </w:tblPr>
      <w:tblGrid>
        <w:gridCol w:w="2147"/>
        <w:gridCol w:w="1718"/>
        <w:gridCol w:w="1530"/>
        <w:gridCol w:w="2250"/>
        <w:gridCol w:w="2700"/>
      </w:tblGrid>
      <w:tr w:rsidR="00640730" w14:paraId="38805039" w14:textId="77777777" w:rsidTr="00640730">
        <w:trPr>
          <w:trHeight w:val="99"/>
        </w:trPr>
        <w:tc>
          <w:tcPr>
            <w:tcW w:w="10345" w:type="dxa"/>
            <w:gridSpan w:val="5"/>
          </w:tcPr>
          <w:p w14:paraId="112E4E58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Table: Considerations for HCP Return-to-Work </w:t>
            </w:r>
          </w:p>
        </w:tc>
      </w:tr>
      <w:tr w:rsidR="00640730" w14:paraId="3924A878" w14:textId="77777777" w:rsidTr="00640730">
        <w:trPr>
          <w:trHeight w:val="99"/>
        </w:trPr>
        <w:tc>
          <w:tcPr>
            <w:tcW w:w="5395" w:type="dxa"/>
            <w:gridSpan w:val="3"/>
          </w:tcPr>
          <w:p w14:paraId="2D9274C6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Exposure, Illness, &amp; Work Exclusion </w:t>
            </w:r>
          </w:p>
        </w:tc>
        <w:tc>
          <w:tcPr>
            <w:tcW w:w="4950" w:type="dxa"/>
            <w:gridSpan w:val="2"/>
          </w:tcPr>
          <w:p w14:paraId="66969024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Return-to-work Recommendations </w:t>
            </w:r>
          </w:p>
        </w:tc>
      </w:tr>
      <w:tr w:rsidR="00640730" w14:paraId="6B3EE1DD" w14:textId="77777777" w:rsidTr="00640730">
        <w:trPr>
          <w:trHeight w:val="343"/>
        </w:trPr>
        <w:tc>
          <w:tcPr>
            <w:tcW w:w="2147" w:type="dxa"/>
          </w:tcPr>
          <w:p w14:paraId="4E5FD2F1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HCP exposed to known case (hospital or community) </w:t>
            </w:r>
          </w:p>
        </w:tc>
        <w:tc>
          <w:tcPr>
            <w:tcW w:w="1718" w:type="dxa"/>
          </w:tcPr>
          <w:p w14:paraId="4D2C4F1A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HCP symptomatic </w:t>
            </w:r>
          </w:p>
        </w:tc>
        <w:tc>
          <w:tcPr>
            <w:tcW w:w="1530" w:type="dxa"/>
          </w:tcPr>
          <w:p w14:paraId="37E37356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Work Exclusion </w:t>
            </w:r>
          </w:p>
        </w:tc>
        <w:tc>
          <w:tcPr>
            <w:tcW w:w="2250" w:type="dxa"/>
          </w:tcPr>
          <w:p w14:paraId="2BCC6A62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When can HCP return to work? </w:t>
            </w:r>
          </w:p>
        </w:tc>
        <w:tc>
          <w:tcPr>
            <w:tcW w:w="2700" w:type="dxa"/>
          </w:tcPr>
          <w:p w14:paraId="5C19F7A8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Additional Considerations </w:t>
            </w:r>
          </w:p>
        </w:tc>
      </w:tr>
      <w:tr w:rsidR="00640730" w14:paraId="6191807E" w14:textId="77777777" w:rsidTr="00640730">
        <w:trPr>
          <w:trHeight w:val="588"/>
        </w:trPr>
        <w:tc>
          <w:tcPr>
            <w:tcW w:w="2147" w:type="dxa"/>
          </w:tcPr>
          <w:p w14:paraId="666BC276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and HCP not tested </w:t>
            </w:r>
          </w:p>
        </w:tc>
        <w:tc>
          <w:tcPr>
            <w:tcW w:w="1718" w:type="dxa"/>
          </w:tcPr>
          <w:p w14:paraId="4F10075A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530" w:type="dxa"/>
          </w:tcPr>
          <w:p w14:paraId="34F6E369" w14:textId="32E78416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–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but symptom monitor for 14 days after last exposure. </w:t>
            </w:r>
          </w:p>
        </w:tc>
        <w:tc>
          <w:tcPr>
            <w:tcW w:w="2250" w:type="dxa"/>
          </w:tcPr>
          <w:p w14:paraId="7E7EF334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Immediately as long as asymptomatic. </w:t>
            </w:r>
          </w:p>
        </w:tc>
        <w:tc>
          <w:tcPr>
            <w:tcW w:w="2700" w:type="dxa"/>
          </w:tcPr>
          <w:p w14:paraId="67451DB4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CDPH does not recommend that asymptomatic HCP be tested for COVID-19; they should be allowed to work as long as symptom monitoring is ongoing through occupational health. </w:t>
            </w:r>
          </w:p>
        </w:tc>
      </w:tr>
      <w:tr w:rsidR="00640730" w14:paraId="6FD744E9" w14:textId="77777777" w:rsidTr="00640730">
        <w:trPr>
          <w:trHeight w:val="831"/>
        </w:trPr>
        <w:tc>
          <w:tcPr>
            <w:tcW w:w="2147" w:type="dxa"/>
          </w:tcPr>
          <w:p w14:paraId="25FB5683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Yes, and HCP not tested </w:t>
            </w:r>
          </w:p>
        </w:tc>
        <w:tc>
          <w:tcPr>
            <w:tcW w:w="1718" w:type="dxa"/>
          </w:tcPr>
          <w:p w14:paraId="3632B948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530" w:type="dxa"/>
          </w:tcPr>
          <w:p w14:paraId="52FAC2E4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250" w:type="dxa"/>
          </w:tcPr>
          <w:p w14:paraId="79138675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Whichever is longer: 14 days from exposure </w:t>
            </w:r>
            <w:r>
              <w:rPr>
                <w:b/>
                <w:bCs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7 days after symptom onset </w:t>
            </w:r>
            <w:r>
              <w:rPr>
                <w:b/>
                <w:bCs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72 hours after recovery* </w:t>
            </w:r>
          </w:p>
        </w:tc>
        <w:tc>
          <w:tcPr>
            <w:tcW w:w="2700" w:type="dxa"/>
          </w:tcPr>
          <w:p w14:paraId="7D1A2A57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longer 14-day period accounts for sequential respiratory illness or co-infection. Existing sick policies should be used for determining time from symptom resolution to potential return to work. Symptom screen should occur before return to work. </w:t>
            </w:r>
          </w:p>
        </w:tc>
      </w:tr>
      <w:tr w:rsidR="00640730" w14:paraId="6F8EAB86" w14:textId="77777777" w:rsidTr="00640730">
        <w:trPr>
          <w:trHeight w:val="343"/>
        </w:trPr>
        <w:tc>
          <w:tcPr>
            <w:tcW w:w="2147" w:type="dxa"/>
          </w:tcPr>
          <w:p w14:paraId="307BA1D8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Yes, and HCP COVID-19 test is positive </w:t>
            </w:r>
          </w:p>
        </w:tc>
        <w:tc>
          <w:tcPr>
            <w:tcW w:w="1718" w:type="dxa"/>
          </w:tcPr>
          <w:p w14:paraId="11FCB769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Yes/No </w:t>
            </w:r>
          </w:p>
        </w:tc>
        <w:tc>
          <w:tcPr>
            <w:tcW w:w="1530" w:type="dxa"/>
          </w:tcPr>
          <w:p w14:paraId="2714E5C0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250" w:type="dxa"/>
          </w:tcPr>
          <w:p w14:paraId="67BECFD6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Whichever is longer: 7 days after symptom onset </w:t>
            </w:r>
            <w:r>
              <w:rPr>
                <w:b/>
                <w:bCs/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72 hours after recovery* </w:t>
            </w:r>
          </w:p>
        </w:tc>
        <w:tc>
          <w:tcPr>
            <w:tcW w:w="2700" w:type="dxa"/>
          </w:tcPr>
          <w:p w14:paraId="1E3843D3" w14:textId="77777777" w:rsidR="00640730" w:rsidRDefault="0064073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Symptom screen should occur before return to work. </w:t>
            </w:r>
          </w:p>
        </w:tc>
      </w:tr>
    </w:tbl>
    <w:p w14:paraId="52FA47EC" w14:textId="4F572485" w:rsidR="00640730" w:rsidRDefault="00640730" w:rsidP="00640730">
      <w:pPr>
        <w:pStyle w:val="ListParagraph"/>
        <w:ind w:left="1440"/>
      </w:pPr>
      <w:r>
        <w:rPr>
          <w:sz w:val="20"/>
          <w:szCs w:val="20"/>
        </w:rPr>
        <w:t xml:space="preserve">*recovery is defined as resolution of fever without the use of fever-reducing medications </w:t>
      </w:r>
      <w:r>
        <w:rPr>
          <w:b/>
          <w:bCs/>
          <w:sz w:val="20"/>
          <w:szCs w:val="20"/>
        </w:rPr>
        <w:t xml:space="preserve">and </w:t>
      </w:r>
      <w:r>
        <w:rPr>
          <w:sz w:val="20"/>
          <w:szCs w:val="20"/>
        </w:rPr>
        <w:t>improvement in respiratory symptoms (e.g., cough, shortness of breath). Lingering cough should not prevent a case from being released from isolation.</w:t>
      </w:r>
    </w:p>
    <w:p w14:paraId="53DED5E3" w14:textId="3C42F73A" w:rsidR="00C14871" w:rsidRDefault="00C14871" w:rsidP="00C14871">
      <w:pPr>
        <w:ind w:left="720"/>
      </w:pPr>
    </w:p>
    <w:sectPr w:rsidR="00C14871" w:rsidSect="00CB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5E45"/>
    <w:multiLevelType w:val="hybridMultilevel"/>
    <w:tmpl w:val="8598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71"/>
    <w:rsid w:val="005048D6"/>
    <w:rsid w:val="00640730"/>
    <w:rsid w:val="006B6369"/>
    <w:rsid w:val="0070664C"/>
    <w:rsid w:val="00B155B8"/>
    <w:rsid w:val="00C14871"/>
    <w:rsid w:val="00CB6D99"/>
    <w:rsid w:val="00CF453D"/>
    <w:rsid w:val="00E14785"/>
    <w:rsid w:val="00E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75FD5"/>
  <w15:chartTrackingRefBased/>
  <w15:docId w15:val="{7AE41A67-40AC-A944-8A5F-439B4552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64C"/>
    <w:rPr>
      <w:color w:val="605E5C"/>
      <w:shd w:val="clear" w:color="auto" w:fill="E1DFDD"/>
    </w:rPr>
  </w:style>
  <w:style w:type="paragraph" w:customStyle="1" w:styleId="Default">
    <w:name w:val="Default"/>
    <w:rsid w:val="0064073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64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hcp/guidance-risk-assesment-hc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McPherson</dc:creator>
  <cp:keywords/>
  <dc:description/>
  <cp:lastModifiedBy>Tristan McPherson</cp:lastModifiedBy>
  <cp:revision>2</cp:revision>
  <dcterms:created xsi:type="dcterms:W3CDTF">2020-03-19T19:43:00Z</dcterms:created>
  <dcterms:modified xsi:type="dcterms:W3CDTF">2020-03-19T19:43:00Z</dcterms:modified>
</cp:coreProperties>
</file>