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CAC" w:rsidRDefault="002B1CAC" w:rsidP="002B1CAC">
      <w:pPr>
        <w:jc w:val="center"/>
      </w:pPr>
      <w:bookmarkStart w:id="0" w:name="_GoBack"/>
      <w:bookmarkEnd w:id="0"/>
    </w:p>
    <w:p w:rsidR="002B1CAC" w:rsidRDefault="002B1CAC" w:rsidP="002B1CAC">
      <w:pPr>
        <w:jc w:val="center"/>
      </w:pPr>
    </w:p>
    <w:p w:rsidR="002B1CAC" w:rsidRPr="007F1AC4" w:rsidRDefault="002B1CAC" w:rsidP="002B1CAC">
      <w:pPr>
        <w:jc w:val="center"/>
      </w:pPr>
      <w:r>
        <w:rPr>
          <w:b/>
          <w:noProof/>
          <w:sz w:val="36"/>
          <w:szCs w:val="36"/>
        </w:rPr>
        <w:drawing>
          <wp:inline distT="0" distB="0" distL="0" distR="0" wp14:anchorId="2E1A9687" wp14:editId="4D0D9115">
            <wp:extent cx="2251758"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png"/>
                    <pic:cNvPicPr/>
                  </pic:nvPicPr>
                  <pic:blipFill>
                    <a:blip r:embed="rId7">
                      <a:extLst>
                        <a:ext uri="{28A0092B-C50C-407E-A947-70E740481C1C}">
                          <a14:useLocalDpi xmlns:a14="http://schemas.microsoft.com/office/drawing/2010/main" val="0"/>
                        </a:ext>
                      </a:extLst>
                    </a:blip>
                    <a:stretch>
                      <a:fillRect/>
                    </a:stretch>
                  </pic:blipFill>
                  <pic:spPr>
                    <a:xfrm>
                      <a:off x="0" y="0"/>
                      <a:ext cx="2251758" cy="876300"/>
                    </a:xfrm>
                    <a:prstGeom prst="rect">
                      <a:avLst/>
                    </a:prstGeom>
                  </pic:spPr>
                </pic:pic>
              </a:graphicData>
            </a:graphic>
          </wp:inline>
        </w:drawing>
      </w:r>
    </w:p>
    <w:tbl>
      <w:tblPr>
        <w:tblStyle w:val="TableGrid"/>
        <w:tblW w:w="0" w:type="auto"/>
        <w:jc w:val="center"/>
        <w:tblInd w:w="102" w:type="dxa"/>
        <w:tblLook w:val="04A0" w:firstRow="1" w:lastRow="0" w:firstColumn="1" w:lastColumn="0" w:noHBand="0" w:noVBand="1"/>
      </w:tblPr>
      <w:tblGrid>
        <w:gridCol w:w="6293"/>
      </w:tblGrid>
      <w:tr w:rsidR="002B1CAC" w:rsidRPr="00591BE8" w:rsidTr="006029E8">
        <w:trPr>
          <w:jc w:val="center"/>
        </w:trPr>
        <w:tc>
          <w:tcPr>
            <w:tcW w:w="6293" w:type="dxa"/>
            <w:shd w:val="clear" w:color="auto" w:fill="00B0F0"/>
          </w:tcPr>
          <w:p w:rsidR="002B1CAC" w:rsidRDefault="002B1CAC" w:rsidP="005F059C">
            <w:pPr>
              <w:jc w:val="center"/>
              <w:rPr>
                <w:b/>
                <w:color w:val="FFFFFF" w:themeColor="background1"/>
                <w:sz w:val="28"/>
                <w:szCs w:val="28"/>
              </w:rPr>
            </w:pPr>
            <w:r w:rsidRPr="00591BE8">
              <w:rPr>
                <w:b/>
                <w:color w:val="FFFFFF" w:themeColor="background1"/>
                <w:sz w:val="28"/>
                <w:szCs w:val="28"/>
              </w:rPr>
              <w:t>Responsible Antibiotic Use in Dentistry:</w:t>
            </w:r>
          </w:p>
          <w:p w:rsidR="002B1CAC" w:rsidRPr="00591BE8" w:rsidRDefault="002B1CAC" w:rsidP="005F059C">
            <w:pPr>
              <w:jc w:val="center"/>
              <w:rPr>
                <w:b/>
                <w:sz w:val="28"/>
                <w:szCs w:val="28"/>
              </w:rPr>
            </w:pPr>
            <w:r w:rsidRPr="00591BE8">
              <w:rPr>
                <w:b/>
                <w:color w:val="FFFFFF" w:themeColor="background1"/>
                <w:sz w:val="28"/>
                <w:szCs w:val="28"/>
              </w:rPr>
              <w:t>A Focus on Antibiotic Stewardship</w:t>
            </w:r>
          </w:p>
        </w:tc>
      </w:tr>
      <w:tr w:rsidR="002B1CAC" w:rsidRPr="00591BE8" w:rsidTr="006029E8">
        <w:trPr>
          <w:jc w:val="center"/>
        </w:trPr>
        <w:tc>
          <w:tcPr>
            <w:tcW w:w="6293" w:type="dxa"/>
            <w:shd w:val="clear" w:color="auto" w:fill="auto"/>
          </w:tcPr>
          <w:p w:rsidR="002B1CAC" w:rsidRPr="00591BE8" w:rsidRDefault="002B1CAC" w:rsidP="005F059C">
            <w:pPr>
              <w:jc w:val="center"/>
              <w:rPr>
                <w:sz w:val="28"/>
                <w:szCs w:val="28"/>
              </w:rPr>
            </w:pPr>
            <w:r w:rsidRPr="00591BE8">
              <w:rPr>
                <w:sz w:val="28"/>
                <w:szCs w:val="28"/>
              </w:rPr>
              <w:t>Chicago Department of Public Health Guidelines for Antibiotic Use in Dentistry</w:t>
            </w:r>
          </w:p>
        </w:tc>
      </w:tr>
    </w:tbl>
    <w:p w:rsidR="002B1CAC" w:rsidRDefault="002B1CAC" w:rsidP="002B1CAC">
      <w:pPr>
        <w:jc w:val="center"/>
      </w:pPr>
    </w:p>
    <w:p w:rsidR="002B1CAC" w:rsidRPr="00506F01" w:rsidRDefault="002B1CAC" w:rsidP="002B1CAC">
      <w:pPr>
        <w:spacing w:after="0" w:line="240" w:lineRule="auto"/>
        <w:jc w:val="center"/>
        <w:rPr>
          <w:sz w:val="18"/>
          <w:szCs w:val="18"/>
        </w:rPr>
      </w:pPr>
      <w:r w:rsidRPr="00506F01">
        <w:rPr>
          <w:sz w:val="18"/>
          <w:szCs w:val="18"/>
        </w:rPr>
        <w:t>Developed by:  Amy Hanson</w:t>
      </w:r>
      <w:r>
        <w:rPr>
          <w:sz w:val="18"/>
          <w:szCs w:val="18"/>
          <w:vertAlign w:val="superscript"/>
        </w:rPr>
        <w:t>1</w:t>
      </w:r>
      <w:r w:rsidRPr="00506F01">
        <w:rPr>
          <w:sz w:val="18"/>
          <w:szCs w:val="18"/>
        </w:rPr>
        <w:t xml:space="preserve">, PharmD, BCPS AQ-ID, Infectious Disease Pharmacist </w:t>
      </w:r>
    </w:p>
    <w:p w:rsidR="002B1CAC" w:rsidRDefault="002B1CAC" w:rsidP="002B1CAC">
      <w:pPr>
        <w:spacing w:after="0" w:line="240" w:lineRule="auto"/>
        <w:jc w:val="center"/>
        <w:rPr>
          <w:sz w:val="18"/>
          <w:szCs w:val="18"/>
        </w:rPr>
      </w:pPr>
      <w:r w:rsidRPr="00506F01">
        <w:rPr>
          <w:sz w:val="18"/>
          <w:szCs w:val="18"/>
        </w:rPr>
        <w:t>Reviewed by:</w:t>
      </w:r>
      <w:r>
        <w:rPr>
          <w:sz w:val="18"/>
          <w:szCs w:val="18"/>
        </w:rPr>
        <w:t xml:space="preserve"> Susan Rowan</w:t>
      </w:r>
      <w:r>
        <w:rPr>
          <w:sz w:val="18"/>
          <w:szCs w:val="18"/>
          <w:vertAlign w:val="superscript"/>
        </w:rPr>
        <w:t>2</w:t>
      </w:r>
      <w:r>
        <w:rPr>
          <w:sz w:val="18"/>
          <w:szCs w:val="18"/>
        </w:rPr>
        <w:t>, DDS, MS and Erinne Kennedy</w:t>
      </w:r>
      <w:r>
        <w:rPr>
          <w:sz w:val="18"/>
          <w:szCs w:val="18"/>
          <w:vertAlign w:val="superscript"/>
        </w:rPr>
        <w:t>3</w:t>
      </w:r>
      <w:r>
        <w:rPr>
          <w:sz w:val="18"/>
          <w:szCs w:val="18"/>
        </w:rPr>
        <w:t>, DMD, MPH, MMSc</w:t>
      </w:r>
    </w:p>
    <w:p w:rsidR="002B1CAC" w:rsidRPr="00F2706D" w:rsidRDefault="002B1CAC" w:rsidP="002B1CAC">
      <w:pPr>
        <w:spacing w:after="0" w:line="240" w:lineRule="auto"/>
        <w:jc w:val="center"/>
        <w:rPr>
          <w:sz w:val="18"/>
          <w:szCs w:val="18"/>
        </w:rPr>
      </w:pPr>
      <w:r>
        <w:rPr>
          <w:sz w:val="18"/>
          <w:szCs w:val="18"/>
          <w:vertAlign w:val="superscript"/>
        </w:rPr>
        <w:t>1</w:t>
      </w:r>
      <w:r w:rsidRPr="00506F01">
        <w:rPr>
          <w:sz w:val="18"/>
          <w:szCs w:val="18"/>
        </w:rPr>
        <w:t>Chicago Department of Public Health</w:t>
      </w:r>
      <w:r>
        <w:rPr>
          <w:sz w:val="18"/>
          <w:szCs w:val="18"/>
        </w:rPr>
        <w:t>, Communicable Disease Program</w:t>
      </w:r>
    </w:p>
    <w:p w:rsidR="002B1CAC" w:rsidRDefault="002B1CAC" w:rsidP="002B1CAC">
      <w:pPr>
        <w:spacing w:after="0" w:line="240" w:lineRule="auto"/>
        <w:jc w:val="center"/>
        <w:rPr>
          <w:sz w:val="18"/>
          <w:szCs w:val="18"/>
        </w:rPr>
      </w:pPr>
      <w:r w:rsidRPr="00F2706D">
        <w:rPr>
          <w:sz w:val="18"/>
          <w:szCs w:val="18"/>
          <w:vertAlign w:val="superscript"/>
        </w:rPr>
        <w:t>2</w:t>
      </w:r>
      <w:r>
        <w:rPr>
          <w:sz w:val="18"/>
          <w:szCs w:val="18"/>
        </w:rPr>
        <w:t xml:space="preserve">Executive Associate Dean, </w:t>
      </w:r>
      <w:r w:rsidRPr="00F2706D">
        <w:rPr>
          <w:sz w:val="18"/>
          <w:szCs w:val="18"/>
        </w:rPr>
        <w:t>College</w:t>
      </w:r>
      <w:r>
        <w:rPr>
          <w:sz w:val="18"/>
          <w:szCs w:val="18"/>
        </w:rPr>
        <w:t xml:space="preserve"> of Dentistry, University of Illinois at Chicago</w:t>
      </w:r>
    </w:p>
    <w:p w:rsidR="002B1CAC" w:rsidRPr="00F2706D" w:rsidRDefault="002B1CAC" w:rsidP="002B1CAC">
      <w:pPr>
        <w:spacing w:after="0" w:line="240" w:lineRule="auto"/>
        <w:jc w:val="center"/>
        <w:rPr>
          <w:sz w:val="18"/>
          <w:szCs w:val="18"/>
        </w:rPr>
      </w:pPr>
      <w:r>
        <w:rPr>
          <w:sz w:val="18"/>
          <w:szCs w:val="18"/>
          <w:vertAlign w:val="superscript"/>
        </w:rPr>
        <w:t>3</w:t>
      </w:r>
      <w:r>
        <w:rPr>
          <w:sz w:val="18"/>
          <w:szCs w:val="18"/>
        </w:rPr>
        <w:t>Associate Dentists, Massachusetts State Employee Fund, Alliance Dental Center</w:t>
      </w:r>
    </w:p>
    <w:p w:rsidR="002B1CAC" w:rsidRDefault="002B1CAC" w:rsidP="002B1CAC">
      <w:pPr>
        <w:spacing w:after="0" w:line="240" w:lineRule="auto"/>
        <w:jc w:val="center"/>
        <w:rPr>
          <w:sz w:val="18"/>
          <w:szCs w:val="18"/>
        </w:rPr>
      </w:pPr>
    </w:p>
    <w:p w:rsidR="002B1CAC" w:rsidRPr="00506F01" w:rsidRDefault="002B1CAC" w:rsidP="002B1CAC">
      <w:pPr>
        <w:jc w:val="center"/>
        <w:rPr>
          <w:sz w:val="18"/>
          <w:szCs w:val="18"/>
        </w:rPr>
      </w:pPr>
      <w:r w:rsidRPr="00506F01">
        <w:rPr>
          <w:sz w:val="18"/>
          <w:szCs w:val="18"/>
        </w:rPr>
        <w:t>Date developed:  January 2020</w:t>
      </w:r>
    </w:p>
    <w:p w:rsidR="002B1CAC" w:rsidRPr="00506F01" w:rsidRDefault="00587856" w:rsidP="002B1CAC">
      <w:r>
        <w:t xml:space="preserve">          </w:t>
      </w:r>
      <w:r w:rsidR="002B1CAC">
        <w:t>Scope of these guidelines for antibiotic prescribing in dentistry:</w:t>
      </w:r>
    </w:p>
    <w:p w:rsidR="002B1CAC" w:rsidRPr="004D4E17" w:rsidRDefault="00587856" w:rsidP="002B1CAC">
      <w:pPr>
        <w:spacing w:after="120"/>
        <w:rPr>
          <w:b/>
          <w:sz w:val="21"/>
          <w:szCs w:val="21"/>
        </w:rPr>
      </w:pPr>
      <w:r>
        <w:rPr>
          <w:b/>
          <w:sz w:val="21"/>
          <w:szCs w:val="21"/>
        </w:rPr>
        <w:t xml:space="preserve">          </w:t>
      </w:r>
      <w:r w:rsidR="002B1CAC" w:rsidRPr="004D4E17">
        <w:rPr>
          <w:b/>
          <w:sz w:val="21"/>
          <w:szCs w:val="21"/>
        </w:rPr>
        <w:t>Introduction</w:t>
      </w:r>
    </w:p>
    <w:p w:rsidR="002B1CAC" w:rsidRPr="004D4E17" w:rsidRDefault="00587856" w:rsidP="002B1CAC">
      <w:pPr>
        <w:spacing w:after="120"/>
        <w:rPr>
          <w:b/>
          <w:sz w:val="21"/>
          <w:szCs w:val="21"/>
        </w:rPr>
      </w:pPr>
      <w:r>
        <w:rPr>
          <w:b/>
          <w:sz w:val="21"/>
          <w:szCs w:val="21"/>
        </w:rPr>
        <w:t xml:space="preserve">          </w:t>
      </w:r>
      <w:r w:rsidR="002B1CAC" w:rsidRPr="004D4E17">
        <w:rPr>
          <w:b/>
          <w:sz w:val="21"/>
          <w:szCs w:val="21"/>
        </w:rPr>
        <w:t xml:space="preserve">Treatment:    </w:t>
      </w:r>
      <w:r w:rsidR="002B1CAC">
        <w:rPr>
          <w:b/>
          <w:sz w:val="21"/>
          <w:szCs w:val="21"/>
        </w:rPr>
        <w:t xml:space="preserve">#1) </w:t>
      </w:r>
      <w:proofErr w:type="gramStart"/>
      <w:r w:rsidR="002B1CAC" w:rsidRPr="004D4E17">
        <w:rPr>
          <w:b/>
          <w:sz w:val="21"/>
          <w:szCs w:val="21"/>
        </w:rPr>
        <w:t>Acute</w:t>
      </w:r>
      <w:proofErr w:type="gramEnd"/>
      <w:r w:rsidR="002B1CAC" w:rsidRPr="004D4E17">
        <w:rPr>
          <w:b/>
          <w:sz w:val="21"/>
          <w:szCs w:val="21"/>
        </w:rPr>
        <w:t xml:space="preserve"> oral bacterial infection (cellulitis or abscess)</w:t>
      </w:r>
    </w:p>
    <w:p w:rsidR="002B1CAC" w:rsidRPr="004D4E17" w:rsidRDefault="002B1CAC" w:rsidP="002B1CAC">
      <w:pPr>
        <w:spacing w:after="120"/>
        <w:rPr>
          <w:b/>
          <w:sz w:val="21"/>
          <w:szCs w:val="21"/>
        </w:rPr>
      </w:pPr>
      <w:r w:rsidRPr="004D4E17">
        <w:rPr>
          <w:b/>
          <w:sz w:val="21"/>
          <w:szCs w:val="21"/>
        </w:rPr>
        <w:tab/>
        <w:t xml:space="preserve">     </w:t>
      </w:r>
      <w:r w:rsidR="00587856">
        <w:rPr>
          <w:b/>
          <w:sz w:val="21"/>
          <w:szCs w:val="21"/>
        </w:rPr>
        <w:t xml:space="preserve">          </w:t>
      </w:r>
      <w:r w:rsidRPr="004D4E17">
        <w:rPr>
          <w:b/>
          <w:sz w:val="21"/>
          <w:szCs w:val="21"/>
        </w:rPr>
        <w:t xml:space="preserve">     </w:t>
      </w:r>
      <w:r>
        <w:rPr>
          <w:b/>
          <w:sz w:val="21"/>
          <w:szCs w:val="21"/>
        </w:rPr>
        <w:t xml:space="preserve">#2) </w:t>
      </w:r>
      <w:r w:rsidRPr="004D4E17">
        <w:rPr>
          <w:b/>
          <w:sz w:val="21"/>
          <w:szCs w:val="21"/>
        </w:rPr>
        <w:t xml:space="preserve">Acute Pericoronitis </w:t>
      </w:r>
    </w:p>
    <w:p w:rsidR="002B1CAC" w:rsidRPr="004D4E17" w:rsidRDefault="002B1CAC" w:rsidP="002B1CAC">
      <w:pPr>
        <w:spacing w:after="120"/>
        <w:rPr>
          <w:b/>
          <w:sz w:val="21"/>
          <w:szCs w:val="21"/>
        </w:rPr>
      </w:pPr>
      <w:r w:rsidRPr="004D4E17">
        <w:rPr>
          <w:b/>
          <w:sz w:val="21"/>
          <w:szCs w:val="21"/>
        </w:rPr>
        <w:tab/>
      </w:r>
      <w:r w:rsidR="00587856">
        <w:rPr>
          <w:b/>
          <w:sz w:val="21"/>
          <w:szCs w:val="21"/>
        </w:rPr>
        <w:t xml:space="preserve">          </w:t>
      </w:r>
      <w:r w:rsidRPr="004D4E17">
        <w:rPr>
          <w:b/>
          <w:sz w:val="21"/>
          <w:szCs w:val="21"/>
        </w:rPr>
        <w:t xml:space="preserve">          </w:t>
      </w:r>
      <w:r>
        <w:rPr>
          <w:b/>
          <w:sz w:val="21"/>
          <w:szCs w:val="21"/>
        </w:rPr>
        <w:t xml:space="preserve">#3) </w:t>
      </w:r>
      <w:r w:rsidRPr="004D4E17">
        <w:rPr>
          <w:b/>
          <w:sz w:val="21"/>
          <w:szCs w:val="21"/>
        </w:rPr>
        <w:t xml:space="preserve">Sinus </w:t>
      </w:r>
      <w:proofErr w:type="gramStart"/>
      <w:r w:rsidRPr="004D4E17">
        <w:rPr>
          <w:b/>
          <w:sz w:val="21"/>
          <w:szCs w:val="21"/>
        </w:rPr>
        <w:t>infection</w:t>
      </w:r>
      <w:proofErr w:type="gramEnd"/>
      <w:r w:rsidRPr="004D4E17">
        <w:rPr>
          <w:b/>
          <w:sz w:val="21"/>
          <w:szCs w:val="21"/>
        </w:rPr>
        <w:t xml:space="preserve"> that presents with dental symptoms </w:t>
      </w:r>
    </w:p>
    <w:p w:rsidR="002B1CAC" w:rsidRPr="004D4E17" w:rsidRDefault="002B1CAC" w:rsidP="002B1CAC">
      <w:pPr>
        <w:spacing w:after="120"/>
        <w:rPr>
          <w:b/>
          <w:sz w:val="21"/>
          <w:szCs w:val="21"/>
        </w:rPr>
      </w:pPr>
      <w:r w:rsidRPr="004D4E17">
        <w:rPr>
          <w:b/>
          <w:sz w:val="21"/>
          <w:szCs w:val="21"/>
        </w:rPr>
        <w:tab/>
      </w:r>
      <w:r w:rsidR="00587856">
        <w:rPr>
          <w:b/>
          <w:sz w:val="21"/>
          <w:szCs w:val="21"/>
        </w:rPr>
        <w:t xml:space="preserve">          </w:t>
      </w:r>
      <w:r w:rsidRPr="004D4E17">
        <w:rPr>
          <w:b/>
          <w:sz w:val="21"/>
          <w:szCs w:val="21"/>
        </w:rPr>
        <w:t xml:space="preserve">          </w:t>
      </w:r>
      <w:r>
        <w:rPr>
          <w:b/>
          <w:sz w:val="21"/>
          <w:szCs w:val="21"/>
        </w:rPr>
        <w:t xml:space="preserve">#4) </w:t>
      </w:r>
      <w:proofErr w:type="gramStart"/>
      <w:r w:rsidRPr="004D4E17">
        <w:rPr>
          <w:b/>
          <w:sz w:val="21"/>
          <w:szCs w:val="21"/>
        </w:rPr>
        <w:t>Chronic</w:t>
      </w:r>
      <w:proofErr w:type="gramEnd"/>
      <w:r w:rsidRPr="004D4E17">
        <w:rPr>
          <w:b/>
          <w:sz w:val="21"/>
          <w:szCs w:val="21"/>
        </w:rPr>
        <w:t xml:space="preserve"> periodontal disease</w:t>
      </w:r>
    </w:p>
    <w:p w:rsidR="002B1CAC" w:rsidRPr="004D4E17" w:rsidRDefault="00587856" w:rsidP="002B1CAC">
      <w:pPr>
        <w:spacing w:after="120"/>
        <w:rPr>
          <w:b/>
          <w:sz w:val="21"/>
          <w:szCs w:val="21"/>
        </w:rPr>
      </w:pPr>
      <w:r>
        <w:rPr>
          <w:b/>
          <w:sz w:val="21"/>
          <w:szCs w:val="21"/>
        </w:rPr>
        <w:t xml:space="preserve">          </w:t>
      </w:r>
      <w:r w:rsidR="002B1CAC" w:rsidRPr="004D4E17">
        <w:rPr>
          <w:b/>
          <w:sz w:val="21"/>
          <w:szCs w:val="21"/>
        </w:rPr>
        <w:t xml:space="preserve">Prophylaxis:  </w:t>
      </w:r>
      <w:r w:rsidR="002B1CAC">
        <w:rPr>
          <w:b/>
          <w:sz w:val="21"/>
          <w:szCs w:val="21"/>
        </w:rPr>
        <w:t xml:space="preserve">#1) </w:t>
      </w:r>
      <w:r w:rsidR="002B1CAC" w:rsidRPr="004D4E17">
        <w:rPr>
          <w:b/>
          <w:sz w:val="21"/>
          <w:szCs w:val="21"/>
        </w:rPr>
        <w:t xml:space="preserve">Prevention of </w:t>
      </w:r>
      <w:r w:rsidR="002B1CAC">
        <w:rPr>
          <w:b/>
          <w:sz w:val="21"/>
          <w:szCs w:val="21"/>
        </w:rPr>
        <w:t xml:space="preserve">surgical </w:t>
      </w:r>
      <w:r w:rsidR="002B1CAC" w:rsidRPr="004D4E17">
        <w:rPr>
          <w:b/>
          <w:sz w:val="21"/>
          <w:szCs w:val="21"/>
        </w:rPr>
        <w:t>site infection</w:t>
      </w:r>
      <w:r w:rsidR="002B1CAC">
        <w:rPr>
          <w:b/>
          <w:sz w:val="21"/>
          <w:szCs w:val="21"/>
        </w:rPr>
        <w:t>s</w:t>
      </w:r>
    </w:p>
    <w:p w:rsidR="002B1CAC" w:rsidRPr="004D4E17" w:rsidRDefault="00587856" w:rsidP="00587856">
      <w:pPr>
        <w:spacing w:after="120"/>
        <w:rPr>
          <w:b/>
          <w:sz w:val="21"/>
          <w:szCs w:val="21"/>
        </w:rPr>
      </w:pPr>
      <w:r>
        <w:rPr>
          <w:b/>
          <w:sz w:val="21"/>
          <w:szCs w:val="21"/>
        </w:rPr>
        <w:t xml:space="preserve">                                  </w:t>
      </w:r>
      <w:r w:rsidR="002B1CAC">
        <w:rPr>
          <w:b/>
          <w:sz w:val="21"/>
          <w:szCs w:val="21"/>
        </w:rPr>
        <w:t xml:space="preserve">#2) </w:t>
      </w:r>
      <w:r w:rsidR="002B1CAC" w:rsidRPr="004D4E17">
        <w:rPr>
          <w:b/>
          <w:sz w:val="21"/>
          <w:szCs w:val="21"/>
        </w:rPr>
        <w:t xml:space="preserve">Prevention of infective endocarditis </w:t>
      </w:r>
    </w:p>
    <w:p w:rsidR="002B1CAC" w:rsidRPr="004D4E17" w:rsidRDefault="002B1CAC" w:rsidP="002B1CAC">
      <w:pPr>
        <w:spacing w:after="120"/>
        <w:rPr>
          <w:b/>
          <w:sz w:val="21"/>
          <w:szCs w:val="21"/>
        </w:rPr>
      </w:pPr>
      <w:r w:rsidRPr="004D4E17">
        <w:rPr>
          <w:b/>
          <w:sz w:val="21"/>
          <w:szCs w:val="21"/>
        </w:rPr>
        <w:tab/>
        <w:t xml:space="preserve">  </w:t>
      </w:r>
      <w:r w:rsidR="00587856">
        <w:rPr>
          <w:b/>
          <w:sz w:val="21"/>
          <w:szCs w:val="21"/>
        </w:rPr>
        <w:t xml:space="preserve">         </w:t>
      </w:r>
      <w:r w:rsidRPr="004D4E17">
        <w:rPr>
          <w:b/>
          <w:sz w:val="21"/>
          <w:szCs w:val="21"/>
        </w:rPr>
        <w:t xml:space="preserve">        </w:t>
      </w:r>
      <w:proofErr w:type="gramStart"/>
      <w:r>
        <w:rPr>
          <w:b/>
          <w:sz w:val="21"/>
          <w:szCs w:val="21"/>
        </w:rPr>
        <w:t xml:space="preserve">#3) </w:t>
      </w:r>
      <w:r w:rsidRPr="004D4E17">
        <w:rPr>
          <w:b/>
          <w:sz w:val="21"/>
          <w:szCs w:val="21"/>
        </w:rPr>
        <w:t>Prevention of prosthetic joint infection</w:t>
      </w:r>
      <w:r>
        <w:rPr>
          <w:b/>
          <w:sz w:val="21"/>
          <w:szCs w:val="21"/>
        </w:rPr>
        <w:t>s</w:t>
      </w:r>
      <w:proofErr w:type="gramEnd"/>
      <w:r w:rsidRPr="004D4E17">
        <w:rPr>
          <w:b/>
          <w:sz w:val="21"/>
          <w:szCs w:val="21"/>
        </w:rPr>
        <w:t xml:space="preserve"> </w:t>
      </w:r>
    </w:p>
    <w:p w:rsidR="00763865" w:rsidRDefault="00763865"/>
    <w:p w:rsidR="00587856" w:rsidRDefault="00587856"/>
    <w:p w:rsidR="00587856" w:rsidRDefault="00587856"/>
    <w:p w:rsidR="00587856" w:rsidRDefault="00587856" w:rsidP="00587856">
      <w:pPr>
        <w:spacing w:after="120" w:line="240" w:lineRule="auto"/>
        <w:jc w:val="center"/>
      </w:pPr>
    </w:p>
    <w:p w:rsidR="00587856" w:rsidRDefault="00587856" w:rsidP="00587856">
      <w:pPr>
        <w:spacing w:after="120" w:line="240" w:lineRule="auto"/>
        <w:jc w:val="center"/>
      </w:pPr>
    </w:p>
    <w:p w:rsidR="00587856" w:rsidRDefault="00587856" w:rsidP="00587856">
      <w:pPr>
        <w:spacing w:after="120" w:line="240" w:lineRule="auto"/>
        <w:jc w:val="center"/>
      </w:pPr>
      <w:r>
        <w:rPr>
          <w:noProof/>
        </w:rPr>
        <w:drawing>
          <wp:inline distT="0" distB="0" distL="0" distR="0" wp14:anchorId="01CAB401" wp14:editId="58682FAD">
            <wp:extent cx="1906172" cy="74181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png"/>
                    <pic:cNvPicPr/>
                  </pic:nvPicPr>
                  <pic:blipFill>
                    <a:blip r:embed="rId7">
                      <a:extLst>
                        <a:ext uri="{28A0092B-C50C-407E-A947-70E740481C1C}">
                          <a14:useLocalDpi xmlns:a14="http://schemas.microsoft.com/office/drawing/2010/main" val="0"/>
                        </a:ext>
                      </a:extLst>
                    </a:blip>
                    <a:stretch>
                      <a:fillRect/>
                    </a:stretch>
                  </pic:blipFill>
                  <pic:spPr>
                    <a:xfrm>
                      <a:off x="0" y="0"/>
                      <a:ext cx="1908212" cy="742604"/>
                    </a:xfrm>
                    <a:prstGeom prst="rect">
                      <a:avLst/>
                    </a:prstGeom>
                  </pic:spPr>
                </pic:pic>
              </a:graphicData>
            </a:graphic>
          </wp:inline>
        </w:drawing>
      </w:r>
    </w:p>
    <w:p w:rsidR="00587856" w:rsidRDefault="00587856" w:rsidP="00587856">
      <w:pPr>
        <w:spacing w:after="120" w:line="240" w:lineRule="auto"/>
        <w:rPr>
          <w:b/>
        </w:rPr>
      </w:pPr>
    </w:p>
    <w:p w:rsidR="00587856" w:rsidRPr="00EA5B58" w:rsidRDefault="00587856" w:rsidP="00587856">
      <w:pPr>
        <w:spacing w:after="120" w:line="240" w:lineRule="auto"/>
        <w:rPr>
          <w:b/>
          <w:vertAlign w:val="superscript"/>
        </w:rPr>
      </w:pPr>
      <w:r w:rsidRPr="00EA5B58">
        <w:rPr>
          <w:b/>
        </w:rPr>
        <w:t>Beta-lactam Allergy Pearls:</w:t>
      </w:r>
      <w:r w:rsidRPr="00EA5B58">
        <w:rPr>
          <w:b/>
          <w:vertAlign w:val="superscript"/>
        </w:rPr>
        <w:t>1-2</w:t>
      </w:r>
    </w:p>
    <w:p w:rsidR="00587856" w:rsidRDefault="00587856" w:rsidP="00587856">
      <w:pPr>
        <w:pStyle w:val="ListParagraph"/>
        <w:numPr>
          <w:ilvl w:val="0"/>
          <w:numId w:val="1"/>
        </w:numPr>
        <w:spacing w:after="120" w:line="240" w:lineRule="auto"/>
      </w:pPr>
      <w:r>
        <w:t xml:space="preserve">Approximately 10% of patients report a penicillin allergy, of </w:t>
      </w:r>
      <w:proofErr w:type="gramStart"/>
      <w:r>
        <w:t>these</w:t>
      </w:r>
      <w:proofErr w:type="gramEnd"/>
      <w:r>
        <w:t xml:space="preserve"> 80-90% will not have a positive skin test (&lt;1 % of all patients are truly allergic).  Patients may state they have a penicillin allergy, but they may be describing an adverse drug reaction or symptom of disease.  Additionally, 80% of patients will “outgrow” their penicillin allergy after 10 years from previous reaction.</w:t>
      </w:r>
    </w:p>
    <w:p w:rsidR="00587856" w:rsidRDefault="00587856" w:rsidP="00587856">
      <w:pPr>
        <w:pStyle w:val="ListParagraph"/>
        <w:numPr>
          <w:ilvl w:val="0"/>
          <w:numId w:val="1"/>
        </w:numPr>
        <w:spacing w:after="120" w:line="240" w:lineRule="auto"/>
      </w:pPr>
      <w:r>
        <w:t xml:space="preserve">Obtaining an accurate patient history is </w:t>
      </w:r>
      <w:proofErr w:type="gramStart"/>
      <w:r>
        <w:t>key</w:t>
      </w:r>
      <w:proofErr w:type="gramEnd"/>
      <w:r>
        <w:t>, including asking exposure to commonly prescribed names of beta-lactam antimicrobials, and type and timing of reactions.  Beta-lactams belong to an important antimicrobial class, and the inability to use them could lead to less efficacious, broader-spectrum, and/or more toxic agents being used.</w:t>
      </w:r>
    </w:p>
    <w:p w:rsidR="00587856" w:rsidRDefault="00587856" w:rsidP="00587856">
      <w:pPr>
        <w:pStyle w:val="ListParagraph"/>
        <w:numPr>
          <w:ilvl w:val="0"/>
          <w:numId w:val="1"/>
        </w:numPr>
        <w:spacing w:after="120" w:line="240" w:lineRule="auto"/>
      </w:pPr>
      <w:r>
        <w:t xml:space="preserve">Cross-reactivity between penicillin or amoxicillin and cephalexin is low (&lt;5%).  Cephalexin can be prescribed safety in penicillin allergic patients with mild-moderate reactions (example: rash), but should be avoided with a penicillin allergy history of severe or </w:t>
      </w:r>
      <w:proofErr w:type="spellStart"/>
      <w:r>
        <w:t>IgE</w:t>
      </w:r>
      <w:proofErr w:type="spellEnd"/>
      <w:r>
        <w:t>-mediated Type 1 reactions (example: shortness of breath or anaphylaxis).</w:t>
      </w:r>
    </w:p>
    <w:p w:rsidR="00587856" w:rsidRDefault="00587856" w:rsidP="00587856">
      <w:pPr>
        <w:pStyle w:val="ListParagraph"/>
        <w:numPr>
          <w:ilvl w:val="0"/>
          <w:numId w:val="1"/>
        </w:numPr>
        <w:spacing w:after="120" w:line="240" w:lineRule="auto"/>
      </w:pPr>
      <w:r>
        <w:t>Dentists should have a low threshold to add metronidazole to cephalexin therapy in patients with a delayed response to antibiotics.</w:t>
      </w:r>
    </w:p>
    <w:p w:rsidR="00587856" w:rsidRPr="00EA5B58" w:rsidRDefault="00587856" w:rsidP="00587856">
      <w:pPr>
        <w:pStyle w:val="ListParagraph"/>
        <w:numPr>
          <w:ilvl w:val="0"/>
          <w:numId w:val="1"/>
        </w:numPr>
        <w:spacing w:after="120" w:line="240" w:lineRule="auto"/>
        <w:rPr>
          <w:b/>
        </w:rPr>
      </w:pPr>
      <w:r>
        <w:t xml:space="preserve">In true history of anaphylaxis, azithromycin can be prescribed at the risk of higher resistance.  Alternatively, </w:t>
      </w:r>
      <w:r w:rsidRPr="00EA5B58">
        <w:rPr>
          <w:b/>
        </w:rPr>
        <w:t xml:space="preserve">clindamycin can be prescribed at the substantial increased risk of developing </w:t>
      </w:r>
      <w:r w:rsidRPr="00EA5B58">
        <w:rPr>
          <w:b/>
          <w:i/>
        </w:rPr>
        <w:t>Clostridioides difficile</w:t>
      </w:r>
      <w:r w:rsidRPr="00EA5B58">
        <w:rPr>
          <w:b/>
        </w:rPr>
        <w:t xml:space="preserve"> infection (odds ratio 17-20 even after a single dose!)</w:t>
      </w:r>
      <w:r>
        <w:rPr>
          <w:vertAlign w:val="superscript"/>
        </w:rPr>
        <w:t>3</w:t>
      </w:r>
    </w:p>
    <w:p w:rsidR="00587856" w:rsidRDefault="00587856" w:rsidP="00587856">
      <w:pPr>
        <w:pStyle w:val="ListParagraph"/>
        <w:rPr>
          <w:sz w:val="14"/>
          <w:szCs w:val="14"/>
        </w:rPr>
      </w:pPr>
    </w:p>
    <w:p w:rsidR="00587856" w:rsidRPr="00C2591B" w:rsidRDefault="00587856" w:rsidP="00587856">
      <w:pPr>
        <w:spacing w:after="0" w:line="240" w:lineRule="auto"/>
        <w:rPr>
          <w:sz w:val="14"/>
          <w:szCs w:val="14"/>
        </w:rPr>
      </w:pPr>
      <w:r w:rsidRPr="00C2591B">
        <w:rPr>
          <w:sz w:val="14"/>
          <w:szCs w:val="14"/>
        </w:rPr>
        <w:t xml:space="preserve">References:  </w:t>
      </w:r>
    </w:p>
    <w:p w:rsidR="00587856" w:rsidRPr="00C2591B" w:rsidRDefault="00587856" w:rsidP="00587856">
      <w:pPr>
        <w:spacing w:after="0" w:line="240" w:lineRule="auto"/>
        <w:rPr>
          <w:rFonts w:cs="Segoe UI"/>
          <w:color w:val="000000"/>
          <w:sz w:val="14"/>
          <w:szCs w:val="14"/>
          <w:shd w:val="clear" w:color="auto" w:fill="FFFFFF"/>
        </w:rPr>
      </w:pPr>
      <w:r w:rsidRPr="00C2591B">
        <w:rPr>
          <w:rFonts w:cs="Segoe UI"/>
          <w:color w:val="000000"/>
          <w:sz w:val="14"/>
          <w:szCs w:val="14"/>
          <w:shd w:val="clear" w:color="auto" w:fill="FFFFFF"/>
          <w:vertAlign w:val="superscript"/>
        </w:rPr>
        <w:t>1</w:t>
      </w:r>
      <w:r w:rsidRPr="00C2591B">
        <w:rPr>
          <w:rFonts w:cs="Segoe UI"/>
          <w:color w:val="000000"/>
          <w:sz w:val="14"/>
          <w:szCs w:val="14"/>
          <w:shd w:val="clear" w:color="auto" w:fill="FFFFFF"/>
        </w:rPr>
        <w:t>Gonzalez-Estrada A, Radojicic C. Penicillin allergy: a practical guide for clinic</w:t>
      </w:r>
      <w:r>
        <w:rPr>
          <w:rFonts w:cs="Segoe UI"/>
          <w:color w:val="000000"/>
          <w:sz w:val="14"/>
          <w:szCs w:val="14"/>
          <w:shd w:val="clear" w:color="auto" w:fill="FFFFFF"/>
        </w:rPr>
        <w:t>ians. Cleve Clin J Med. 2015</w:t>
      </w:r>
      <w:proofErr w:type="gramStart"/>
      <w:r w:rsidRPr="00C2591B">
        <w:rPr>
          <w:rFonts w:cs="Segoe UI"/>
          <w:color w:val="000000"/>
          <w:sz w:val="14"/>
          <w:szCs w:val="14"/>
          <w:shd w:val="clear" w:color="auto" w:fill="FFFFFF"/>
        </w:rPr>
        <w:t>;82</w:t>
      </w:r>
      <w:proofErr w:type="gramEnd"/>
      <w:r w:rsidRPr="00C2591B">
        <w:rPr>
          <w:rFonts w:cs="Segoe UI"/>
          <w:color w:val="000000"/>
          <w:sz w:val="14"/>
          <w:szCs w:val="14"/>
          <w:shd w:val="clear" w:color="auto" w:fill="FFFFFF"/>
        </w:rPr>
        <w:t>(5):295-300.</w:t>
      </w:r>
    </w:p>
    <w:p w:rsidR="00587856" w:rsidRPr="00C2591B" w:rsidRDefault="00587856" w:rsidP="00587856">
      <w:pPr>
        <w:spacing w:after="0" w:line="240" w:lineRule="auto"/>
        <w:rPr>
          <w:rFonts w:cs="Segoe UI"/>
          <w:color w:val="000000"/>
          <w:sz w:val="14"/>
          <w:szCs w:val="14"/>
          <w:shd w:val="clear" w:color="auto" w:fill="FFFFFF"/>
        </w:rPr>
      </w:pPr>
      <w:r w:rsidRPr="00C2591B">
        <w:rPr>
          <w:rFonts w:cs="Segoe UI"/>
          <w:color w:val="000000"/>
          <w:sz w:val="14"/>
          <w:szCs w:val="14"/>
          <w:shd w:val="clear" w:color="auto" w:fill="FFFFFF"/>
          <w:vertAlign w:val="superscript"/>
        </w:rPr>
        <w:t>2</w:t>
      </w:r>
      <w:r w:rsidRPr="00C2591B">
        <w:rPr>
          <w:rFonts w:cs="Segoe UI"/>
          <w:color w:val="000000"/>
          <w:sz w:val="14"/>
          <w:szCs w:val="14"/>
          <w:shd w:val="clear" w:color="auto" w:fill="FFFFFF"/>
        </w:rPr>
        <w:t xml:space="preserve">Blumenthal KG, </w:t>
      </w:r>
      <w:proofErr w:type="spellStart"/>
      <w:r w:rsidRPr="00C2591B">
        <w:rPr>
          <w:rFonts w:cs="Segoe UI"/>
          <w:color w:val="000000"/>
          <w:sz w:val="14"/>
          <w:szCs w:val="14"/>
          <w:shd w:val="clear" w:color="auto" w:fill="FFFFFF"/>
        </w:rPr>
        <w:t>Shenoy</w:t>
      </w:r>
      <w:proofErr w:type="spellEnd"/>
      <w:r w:rsidRPr="00C2591B">
        <w:rPr>
          <w:rFonts w:cs="Segoe UI"/>
          <w:color w:val="000000"/>
          <w:sz w:val="14"/>
          <w:szCs w:val="14"/>
          <w:shd w:val="clear" w:color="auto" w:fill="FFFFFF"/>
        </w:rPr>
        <w:t xml:space="preserve"> ES, Hurwitz S, Varughese CA, Hooper DC, Banerji A. Effect of a drug allergy educational program and antibiotic prescribing guideline on inpatient clinical providers’ antibiotic prescribing knowledge. </w:t>
      </w:r>
      <w:proofErr w:type="gramStart"/>
      <w:r w:rsidRPr="00C2591B">
        <w:rPr>
          <w:rFonts w:cs="Segoe UI"/>
          <w:color w:val="000000"/>
          <w:sz w:val="14"/>
          <w:szCs w:val="14"/>
          <w:shd w:val="clear" w:color="auto" w:fill="FFFFFF"/>
        </w:rPr>
        <w:t xml:space="preserve">J Allergy Clin </w:t>
      </w:r>
      <w:proofErr w:type="spellStart"/>
      <w:r w:rsidRPr="00C2591B">
        <w:rPr>
          <w:rFonts w:cs="Segoe UI"/>
          <w:color w:val="000000"/>
          <w:sz w:val="14"/>
          <w:szCs w:val="14"/>
          <w:shd w:val="clear" w:color="auto" w:fill="FFFFFF"/>
        </w:rPr>
        <w:t>Immunol</w:t>
      </w:r>
      <w:proofErr w:type="spellEnd"/>
      <w:r w:rsidRPr="00C2591B">
        <w:rPr>
          <w:rFonts w:cs="Segoe UI"/>
          <w:color w:val="000000"/>
          <w:sz w:val="14"/>
          <w:szCs w:val="14"/>
          <w:shd w:val="clear" w:color="auto" w:fill="FFFFFF"/>
        </w:rPr>
        <w:t>.</w:t>
      </w:r>
      <w:proofErr w:type="gramEnd"/>
      <w:r w:rsidRPr="00C2591B">
        <w:rPr>
          <w:rFonts w:cs="Segoe UI"/>
          <w:color w:val="000000"/>
          <w:sz w:val="14"/>
          <w:szCs w:val="14"/>
          <w:shd w:val="clear" w:color="auto" w:fill="FFFFFF"/>
        </w:rPr>
        <w:t xml:space="preserve"> 2014</w:t>
      </w:r>
      <w:proofErr w:type="gramStart"/>
      <w:r w:rsidRPr="00C2591B">
        <w:rPr>
          <w:rFonts w:cs="Segoe UI"/>
          <w:color w:val="000000"/>
          <w:sz w:val="14"/>
          <w:szCs w:val="14"/>
          <w:shd w:val="clear" w:color="auto" w:fill="FFFFFF"/>
        </w:rPr>
        <w:t>;2</w:t>
      </w:r>
      <w:proofErr w:type="gramEnd"/>
      <w:r w:rsidRPr="00C2591B">
        <w:rPr>
          <w:rFonts w:cs="Segoe UI"/>
          <w:color w:val="000000"/>
          <w:sz w:val="14"/>
          <w:szCs w:val="14"/>
          <w:shd w:val="clear" w:color="auto" w:fill="FFFFFF"/>
        </w:rPr>
        <w:t>(4):407-412..</w:t>
      </w:r>
    </w:p>
    <w:p w:rsidR="00587856" w:rsidRPr="00C2591B" w:rsidRDefault="00587856" w:rsidP="00587856">
      <w:pPr>
        <w:spacing w:after="0" w:line="240" w:lineRule="auto"/>
        <w:rPr>
          <w:sz w:val="14"/>
          <w:szCs w:val="14"/>
        </w:rPr>
      </w:pPr>
      <w:r w:rsidRPr="00C2591B">
        <w:rPr>
          <w:rFonts w:cs="Segoe UI"/>
          <w:color w:val="000000"/>
          <w:sz w:val="14"/>
          <w:szCs w:val="14"/>
          <w:shd w:val="clear" w:color="auto" w:fill="FFFFFF"/>
          <w:vertAlign w:val="superscript"/>
        </w:rPr>
        <w:t>3</w:t>
      </w:r>
      <w:r w:rsidRPr="00C2591B">
        <w:rPr>
          <w:rFonts w:cs="Segoe UI"/>
          <w:color w:val="000000"/>
          <w:sz w:val="14"/>
          <w:szCs w:val="14"/>
          <w:shd w:val="clear" w:color="auto" w:fill="FFFFFF"/>
        </w:rPr>
        <w:t xml:space="preserve">Vardakas KZ, </w:t>
      </w:r>
      <w:proofErr w:type="spellStart"/>
      <w:r w:rsidRPr="00C2591B">
        <w:rPr>
          <w:rFonts w:cs="Segoe UI"/>
          <w:color w:val="000000"/>
          <w:sz w:val="14"/>
          <w:szCs w:val="14"/>
          <w:shd w:val="clear" w:color="auto" w:fill="FFFFFF"/>
        </w:rPr>
        <w:t>Trigkidis</w:t>
      </w:r>
      <w:proofErr w:type="spellEnd"/>
      <w:r w:rsidRPr="00C2591B">
        <w:rPr>
          <w:rFonts w:cs="Segoe UI"/>
          <w:color w:val="000000"/>
          <w:sz w:val="14"/>
          <w:szCs w:val="14"/>
          <w:shd w:val="clear" w:color="auto" w:fill="FFFFFF"/>
        </w:rPr>
        <w:t xml:space="preserve"> KK, </w:t>
      </w:r>
      <w:proofErr w:type="spellStart"/>
      <w:r w:rsidRPr="00C2591B">
        <w:rPr>
          <w:rFonts w:cs="Segoe UI"/>
          <w:color w:val="000000"/>
          <w:sz w:val="14"/>
          <w:szCs w:val="14"/>
          <w:shd w:val="clear" w:color="auto" w:fill="FFFFFF"/>
        </w:rPr>
        <w:t>Boukouvala</w:t>
      </w:r>
      <w:proofErr w:type="spellEnd"/>
      <w:r w:rsidRPr="00C2591B">
        <w:rPr>
          <w:rFonts w:cs="Segoe UI"/>
          <w:color w:val="000000"/>
          <w:sz w:val="14"/>
          <w:szCs w:val="14"/>
          <w:shd w:val="clear" w:color="auto" w:fill="FFFFFF"/>
        </w:rPr>
        <w:t xml:space="preserve"> E, </w:t>
      </w:r>
      <w:proofErr w:type="spellStart"/>
      <w:r w:rsidRPr="00C2591B">
        <w:rPr>
          <w:rFonts w:cs="Segoe UI"/>
          <w:color w:val="000000"/>
          <w:sz w:val="14"/>
          <w:szCs w:val="14"/>
          <w:shd w:val="clear" w:color="auto" w:fill="FFFFFF"/>
        </w:rPr>
        <w:t>Falagas</w:t>
      </w:r>
      <w:proofErr w:type="spellEnd"/>
      <w:r w:rsidRPr="00C2591B">
        <w:rPr>
          <w:rFonts w:cs="Segoe UI"/>
          <w:color w:val="000000"/>
          <w:sz w:val="14"/>
          <w:szCs w:val="14"/>
          <w:shd w:val="clear" w:color="auto" w:fill="FFFFFF"/>
        </w:rPr>
        <w:t xml:space="preserve"> ME.  Clostridium difficile infection following systemic antibiotic administration in randomized controlled trials: a systemic review and meta-analysis.  </w:t>
      </w:r>
      <w:proofErr w:type="spellStart"/>
      <w:r w:rsidRPr="00C2591B">
        <w:rPr>
          <w:rFonts w:cs="Segoe UI"/>
          <w:color w:val="000000"/>
          <w:sz w:val="14"/>
          <w:szCs w:val="14"/>
          <w:shd w:val="clear" w:color="auto" w:fill="FFFFFF"/>
        </w:rPr>
        <w:t>Int</w:t>
      </w:r>
      <w:proofErr w:type="spellEnd"/>
      <w:r w:rsidRPr="00C2591B">
        <w:rPr>
          <w:rFonts w:cs="Segoe UI"/>
          <w:color w:val="000000"/>
          <w:sz w:val="14"/>
          <w:szCs w:val="14"/>
          <w:shd w:val="clear" w:color="auto" w:fill="FFFFFF"/>
        </w:rPr>
        <w:t xml:space="preserve"> J </w:t>
      </w:r>
      <w:proofErr w:type="spellStart"/>
      <w:r w:rsidRPr="00C2591B">
        <w:rPr>
          <w:rFonts w:cs="Segoe UI"/>
          <w:color w:val="000000"/>
          <w:sz w:val="14"/>
          <w:szCs w:val="14"/>
          <w:shd w:val="clear" w:color="auto" w:fill="FFFFFF"/>
        </w:rPr>
        <w:t>Antimicrob</w:t>
      </w:r>
      <w:proofErr w:type="spellEnd"/>
      <w:r w:rsidRPr="00C2591B">
        <w:rPr>
          <w:rFonts w:cs="Segoe UI"/>
          <w:color w:val="000000"/>
          <w:sz w:val="14"/>
          <w:szCs w:val="14"/>
          <w:shd w:val="clear" w:color="auto" w:fill="FFFFFF"/>
        </w:rPr>
        <w:t xml:space="preserve"> Agents 2016</w:t>
      </w:r>
      <w:proofErr w:type="gramStart"/>
      <w:r w:rsidRPr="00C2591B">
        <w:rPr>
          <w:rFonts w:cs="Segoe UI"/>
          <w:color w:val="000000"/>
          <w:sz w:val="14"/>
          <w:szCs w:val="14"/>
          <w:shd w:val="clear" w:color="auto" w:fill="FFFFFF"/>
        </w:rPr>
        <w:t>;48</w:t>
      </w:r>
      <w:proofErr w:type="gramEnd"/>
      <w:r w:rsidRPr="00C2591B">
        <w:rPr>
          <w:rFonts w:cs="Segoe UI"/>
          <w:color w:val="000000"/>
          <w:sz w:val="14"/>
          <w:szCs w:val="14"/>
          <w:shd w:val="clear" w:color="auto" w:fill="FFFFFF"/>
        </w:rPr>
        <w:t xml:space="preserve">(1):1-10. </w:t>
      </w:r>
    </w:p>
    <w:p w:rsidR="00587856" w:rsidRDefault="00587856" w:rsidP="00587856">
      <w:pPr>
        <w:spacing w:after="0" w:line="240" w:lineRule="auto"/>
        <w:rPr>
          <w:sz w:val="14"/>
          <w:szCs w:val="14"/>
        </w:rPr>
      </w:pPr>
    </w:p>
    <w:p w:rsidR="00587856" w:rsidRDefault="00587856"/>
    <w:p w:rsidR="00587856" w:rsidRDefault="00587856"/>
    <w:p w:rsidR="007551CB" w:rsidRDefault="002B39D4" w:rsidP="00587856">
      <w:pPr>
        <w:jc w:val="center"/>
      </w:pPr>
      <w:r>
        <w:rPr>
          <w:noProof/>
        </w:rPr>
        <w:lastRenderedPageBreak/>
        <mc:AlternateContent>
          <mc:Choice Requires="wps">
            <w:drawing>
              <wp:anchor distT="0" distB="0" distL="114300" distR="114300" simplePos="0" relativeHeight="251665408" behindDoc="0" locked="0" layoutInCell="1" allowOverlap="1" wp14:anchorId="34C72521" wp14:editId="56E841C6">
                <wp:simplePos x="0" y="0"/>
                <wp:positionH relativeFrom="column">
                  <wp:posOffset>5655944</wp:posOffset>
                </wp:positionH>
                <wp:positionV relativeFrom="paragraph">
                  <wp:posOffset>-40006</wp:posOffset>
                </wp:positionV>
                <wp:extent cx="3857625" cy="7522845"/>
                <wp:effectExtent l="0" t="0" r="28575"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857625" cy="7522845"/>
                        </a:xfrm>
                        <a:prstGeom prst="rect">
                          <a:avLst/>
                        </a:prstGeom>
                        <a:solidFill>
                          <a:srgbClr val="FFFFFF"/>
                        </a:solidFill>
                        <a:ln w="9525">
                          <a:solidFill>
                            <a:schemeClr val="bg1"/>
                          </a:solidFill>
                          <a:miter lim="800000"/>
                          <a:headEnd/>
                          <a:tailEnd/>
                        </a:ln>
                      </wps:spPr>
                      <wps:txbx>
                        <w:txbxContent>
                          <w:p w:rsidR="007551CB" w:rsidRDefault="007551CB" w:rsidP="007551CB">
                            <w:pPr>
                              <w:spacing w:after="0" w:line="240" w:lineRule="auto"/>
                              <w:jc w:val="center"/>
                              <w:rPr>
                                <w:sz w:val="14"/>
                                <w:szCs w:val="14"/>
                              </w:rPr>
                            </w:pPr>
                          </w:p>
                          <w:p w:rsidR="007551CB" w:rsidRDefault="007551CB" w:rsidP="007551CB">
                            <w:pPr>
                              <w:spacing w:after="0" w:line="240" w:lineRule="auto"/>
                              <w:jc w:val="center"/>
                              <w:rPr>
                                <w:sz w:val="14"/>
                                <w:szCs w:val="14"/>
                              </w:rPr>
                            </w:pPr>
                            <w:r>
                              <w:rPr>
                                <w:noProof/>
                              </w:rPr>
                              <w:drawing>
                                <wp:inline distT="0" distB="0" distL="0" distR="0" wp14:anchorId="55C4A8D9" wp14:editId="748E749B">
                                  <wp:extent cx="1476375" cy="574549"/>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png"/>
                                          <pic:cNvPicPr/>
                                        </pic:nvPicPr>
                                        <pic:blipFill>
                                          <a:blip r:embed="rId7">
                                            <a:extLst>
                                              <a:ext uri="{28A0092B-C50C-407E-A947-70E740481C1C}">
                                                <a14:useLocalDpi xmlns:a14="http://schemas.microsoft.com/office/drawing/2010/main" val="0"/>
                                              </a:ext>
                                            </a:extLst>
                                          </a:blip>
                                          <a:stretch>
                                            <a:fillRect/>
                                          </a:stretch>
                                        </pic:blipFill>
                                        <pic:spPr>
                                          <a:xfrm>
                                            <a:off x="0" y="0"/>
                                            <a:ext cx="1483888" cy="577473"/>
                                          </a:xfrm>
                                          <a:prstGeom prst="rect">
                                            <a:avLst/>
                                          </a:prstGeom>
                                        </pic:spPr>
                                      </pic:pic>
                                    </a:graphicData>
                                  </a:graphic>
                                </wp:inline>
                              </w:drawing>
                            </w:r>
                          </w:p>
                          <w:p w:rsidR="007551CB" w:rsidRDefault="007551CB" w:rsidP="007551CB">
                            <w:pPr>
                              <w:spacing w:after="0" w:line="240" w:lineRule="auto"/>
                            </w:pPr>
                          </w:p>
                          <w:p w:rsidR="007551CB" w:rsidRDefault="007551CB" w:rsidP="007551CB">
                            <w:pPr>
                              <w:spacing w:after="0" w:line="240" w:lineRule="auto"/>
                              <w:rPr>
                                <w:b/>
                              </w:rPr>
                            </w:pPr>
                            <w:r w:rsidRPr="00FF34EE">
                              <w:rPr>
                                <w:b/>
                              </w:rPr>
                              <w:t>C</w:t>
                            </w:r>
                            <w:r>
                              <w:rPr>
                                <w:b/>
                              </w:rPr>
                              <w:t xml:space="preserve">ounseling Pearls for Antibiotics </w:t>
                            </w:r>
                            <w:r w:rsidRPr="00FF34EE">
                              <w:rPr>
                                <w:b/>
                              </w:rPr>
                              <w:t>Commonly Used by Dentists:</w:t>
                            </w:r>
                          </w:p>
                          <w:p w:rsidR="007551CB" w:rsidRPr="00BC06EC" w:rsidRDefault="007551CB" w:rsidP="007551CB">
                            <w:pPr>
                              <w:spacing w:after="0" w:line="240" w:lineRule="auto"/>
                              <w:rPr>
                                <w:b/>
                              </w:rPr>
                            </w:pPr>
                          </w:p>
                          <w:p w:rsidR="007551CB" w:rsidRDefault="007551CB" w:rsidP="007551CB">
                            <w:pPr>
                              <w:spacing w:after="0" w:line="240" w:lineRule="auto"/>
                            </w:pPr>
                            <w:r>
                              <w:t>Beta-lactams (such as penicillin V potassium, amoxicillin, amoxicillin-clavulanate, and cephalexin)</w:t>
                            </w:r>
                          </w:p>
                          <w:p w:rsidR="007551CB" w:rsidRPr="00C85834" w:rsidRDefault="007551CB" w:rsidP="007551CB">
                            <w:pPr>
                              <w:pStyle w:val="ListParagraph"/>
                              <w:numPr>
                                <w:ilvl w:val="0"/>
                                <w:numId w:val="6"/>
                              </w:numPr>
                              <w:spacing w:after="0" w:line="240" w:lineRule="auto"/>
                            </w:pPr>
                            <w:r w:rsidRPr="00C85834">
                              <w:t>May be taken with or without food.</w:t>
                            </w:r>
                          </w:p>
                          <w:p w:rsidR="007551CB" w:rsidRPr="00BC06EC" w:rsidRDefault="007551CB" w:rsidP="007551CB">
                            <w:pPr>
                              <w:pStyle w:val="ListParagraph"/>
                              <w:numPr>
                                <w:ilvl w:val="0"/>
                                <w:numId w:val="6"/>
                              </w:numPr>
                              <w:spacing w:after="0" w:line="240" w:lineRule="auto"/>
                              <w:rPr>
                                <w:b/>
                              </w:rPr>
                            </w:pPr>
                            <w:r>
                              <w:t>Allergic reaction rarely occur (most common = mild rash)</w:t>
                            </w:r>
                          </w:p>
                          <w:p w:rsidR="007551CB" w:rsidRPr="00BC06EC" w:rsidRDefault="007551CB" w:rsidP="007551CB">
                            <w:pPr>
                              <w:pStyle w:val="ListParagraph"/>
                              <w:numPr>
                                <w:ilvl w:val="0"/>
                                <w:numId w:val="6"/>
                              </w:numPr>
                              <w:spacing w:after="0" w:line="240" w:lineRule="auto"/>
                              <w:rPr>
                                <w:b/>
                              </w:rPr>
                            </w:pPr>
                            <w:r>
                              <w:t>In general, beta-lactams are considered safe with minimal risk of side effects.</w:t>
                            </w:r>
                            <w:r w:rsidRPr="00C85834">
                              <w:t xml:space="preserve"> </w:t>
                            </w:r>
                          </w:p>
                          <w:p w:rsidR="007551CB" w:rsidRPr="00BC06EC" w:rsidRDefault="007551CB" w:rsidP="007551CB">
                            <w:pPr>
                              <w:pStyle w:val="ListParagraph"/>
                              <w:numPr>
                                <w:ilvl w:val="0"/>
                                <w:numId w:val="6"/>
                              </w:numPr>
                              <w:spacing w:after="0" w:line="240" w:lineRule="auto"/>
                              <w:rPr>
                                <w:b/>
                              </w:rPr>
                            </w:pPr>
                            <w:r>
                              <w:t xml:space="preserve">Diarrhea can occur, but more likely after prolonged courses.  Non-infectious, antibiotic-associated diarrhea is typically mild.  However, if 3 or more loose stools/day for 1-2 days develops while on antibiotics, the patient should contact their primary care provider to be evaluated for antibiotic-associated </w:t>
                            </w:r>
                            <w:r w:rsidRPr="00BC06EC">
                              <w:rPr>
                                <w:i/>
                              </w:rPr>
                              <w:t>Clostridioides difficile</w:t>
                            </w:r>
                            <w:r>
                              <w:t xml:space="preserve"> infection.</w:t>
                            </w:r>
                          </w:p>
                          <w:p w:rsidR="007551CB" w:rsidRDefault="007551CB" w:rsidP="007551CB">
                            <w:pPr>
                              <w:spacing w:after="0" w:line="240" w:lineRule="auto"/>
                            </w:pPr>
                            <w:r>
                              <w:t xml:space="preserve">Azithromycin </w:t>
                            </w:r>
                          </w:p>
                          <w:p w:rsidR="007551CB" w:rsidRDefault="007551CB" w:rsidP="007551CB">
                            <w:pPr>
                              <w:pStyle w:val="ListParagraph"/>
                              <w:numPr>
                                <w:ilvl w:val="0"/>
                                <w:numId w:val="7"/>
                              </w:numPr>
                              <w:spacing w:after="0" w:line="240" w:lineRule="auto"/>
                            </w:pPr>
                            <w:r>
                              <w:t>Commonly referred to as a “Z-</w:t>
                            </w:r>
                            <w:proofErr w:type="spellStart"/>
                            <w:r>
                              <w:t>pak</w:t>
                            </w:r>
                            <w:proofErr w:type="spellEnd"/>
                            <w:r>
                              <w:t>”.</w:t>
                            </w:r>
                          </w:p>
                          <w:p w:rsidR="007551CB" w:rsidRDefault="007551CB" w:rsidP="007551CB">
                            <w:pPr>
                              <w:pStyle w:val="ListParagraph"/>
                              <w:numPr>
                                <w:ilvl w:val="0"/>
                                <w:numId w:val="7"/>
                              </w:numPr>
                              <w:spacing w:after="0" w:line="240" w:lineRule="auto"/>
                            </w:pPr>
                            <w:r>
                              <w:t>Take with or without food, but food may reduce stomach upset.</w:t>
                            </w:r>
                          </w:p>
                          <w:p w:rsidR="007551CB" w:rsidRDefault="007551CB" w:rsidP="007551CB">
                            <w:pPr>
                              <w:pStyle w:val="ListParagraph"/>
                              <w:numPr>
                                <w:ilvl w:val="0"/>
                                <w:numId w:val="7"/>
                              </w:numPr>
                              <w:spacing w:after="0" w:line="240" w:lineRule="auto"/>
                            </w:pPr>
                            <w:r>
                              <w:t>Side effects in some patients include nausea, vomiting or diarrhea.</w:t>
                            </w:r>
                          </w:p>
                          <w:p w:rsidR="007551CB" w:rsidRDefault="007551CB" w:rsidP="007551CB">
                            <w:pPr>
                              <w:pStyle w:val="ListParagraph"/>
                              <w:numPr>
                                <w:ilvl w:val="0"/>
                                <w:numId w:val="7"/>
                              </w:numPr>
                              <w:spacing w:after="0" w:line="240" w:lineRule="auto"/>
                            </w:pPr>
                            <w:r>
                              <w:t>There is a small (&lt;1%) risk of cardiotoxicity, and use caution in patients that are administered concomitant medications that can prolong the QTc interval.</w:t>
                            </w:r>
                          </w:p>
                          <w:p w:rsidR="007551CB" w:rsidRDefault="007551CB" w:rsidP="007551CB">
                            <w:pPr>
                              <w:spacing w:after="0" w:line="240" w:lineRule="auto"/>
                            </w:pPr>
                            <w:r>
                              <w:t>Clindamycin</w:t>
                            </w:r>
                          </w:p>
                          <w:p w:rsidR="007551CB" w:rsidRDefault="007551CB" w:rsidP="007551CB">
                            <w:pPr>
                              <w:pStyle w:val="ListParagraph"/>
                              <w:numPr>
                                <w:ilvl w:val="0"/>
                                <w:numId w:val="8"/>
                              </w:numPr>
                              <w:spacing w:after="0" w:line="240" w:lineRule="auto"/>
                            </w:pPr>
                            <w:r>
                              <w:t>Can take with or without food.</w:t>
                            </w:r>
                          </w:p>
                          <w:p w:rsidR="007551CB" w:rsidRPr="00BC06EC" w:rsidRDefault="007551CB" w:rsidP="007551CB">
                            <w:pPr>
                              <w:pStyle w:val="ListParagraph"/>
                              <w:numPr>
                                <w:ilvl w:val="0"/>
                                <w:numId w:val="8"/>
                              </w:numPr>
                              <w:spacing w:after="0" w:line="240" w:lineRule="auto"/>
                              <w:rPr>
                                <w:b/>
                              </w:rPr>
                            </w:pPr>
                            <w:r>
                              <w:t xml:space="preserve">Diarrhea can occur, even after a single dose.  If 3 or more loose stools/day for 1-2 days develops while on antibiotics, the patient should contact their primary care provider to be evaluated for antibiotic-associated </w:t>
                            </w:r>
                            <w:r w:rsidRPr="00BC06EC">
                              <w:rPr>
                                <w:i/>
                              </w:rPr>
                              <w:t>Clostridioides difficile</w:t>
                            </w:r>
                            <w:r>
                              <w:t xml:space="preserve"> infection.</w:t>
                            </w:r>
                          </w:p>
                          <w:p w:rsidR="007551CB" w:rsidRDefault="007551CB" w:rsidP="007551CB">
                            <w:pPr>
                              <w:spacing w:after="0" w:line="240" w:lineRule="auto"/>
                            </w:pPr>
                            <w:r>
                              <w:t>Metronidazole</w:t>
                            </w:r>
                          </w:p>
                          <w:p w:rsidR="007551CB" w:rsidRDefault="007551CB" w:rsidP="007551CB">
                            <w:pPr>
                              <w:pStyle w:val="ListParagraph"/>
                              <w:numPr>
                                <w:ilvl w:val="0"/>
                                <w:numId w:val="9"/>
                              </w:numPr>
                              <w:spacing w:after="0" w:line="240" w:lineRule="auto"/>
                            </w:pPr>
                            <w:r>
                              <w:t>Administer with food to minimize stomach upset.</w:t>
                            </w:r>
                          </w:p>
                          <w:p w:rsidR="007551CB" w:rsidRDefault="007551CB" w:rsidP="007551CB">
                            <w:pPr>
                              <w:pStyle w:val="ListParagraph"/>
                              <w:numPr>
                                <w:ilvl w:val="0"/>
                                <w:numId w:val="9"/>
                              </w:numPr>
                              <w:spacing w:after="0" w:line="240" w:lineRule="auto"/>
                            </w:pPr>
                            <w:r>
                              <w:t>Metallic taste can occur for some patients.</w:t>
                            </w:r>
                          </w:p>
                          <w:p w:rsidR="007551CB" w:rsidRPr="00F47897" w:rsidRDefault="007551CB" w:rsidP="007551CB">
                            <w:pPr>
                              <w:pStyle w:val="ListParagraph"/>
                              <w:numPr>
                                <w:ilvl w:val="0"/>
                                <w:numId w:val="9"/>
                              </w:numPr>
                              <w:spacing w:after="0" w:line="240" w:lineRule="auto"/>
                            </w:pPr>
                            <w:r>
                              <w:t>Do not consume alcohol with taking this medication.</w:t>
                            </w:r>
                          </w:p>
                          <w:p w:rsidR="007551CB" w:rsidRDefault="007551CB" w:rsidP="0075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5.35pt;margin-top:-3.15pt;width:303.75pt;height:592.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" strokecolor="white [3212]">
                <v:textbox>
                  <w:txbxContent>
                    <w:p w:rsidR="007551CB" w:rsidRDefault="007551CB" w:rsidP="007551CB">
                      <w:pPr>
                        <w:spacing w:after="0" w:line="240" w:lineRule="auto"/>
                        <w:jc w:val="center"/>
                        <w:rPr>
                          <w:sz w:val="14"/>
                          <w:szCs w:val="14"/>
                        </w:rPr>
                      </w:pPr>
                    </w:p>
                    <w:p w:rsidR="007551CB" w:rsidRDefault="007551CB" w:rsidP="007551CB">
                      <w:pPr>
                        <w:spacing w:after="0" w:line="240" w:lineRule="auto"/>
                        <w:jc w:val="center"/>
                        <w:rPr>
                          <w:sz w:val="14"/>
                          <w:szCs w:val="14"/>
                        </w:rPr>
                      </w:pPr>
                      <w:r>
                        <w:rPr>
                          <w:noProof/>
                        </w:rPr>
                        <w:drawing>
                          <wp:inline distT="0" distB="0" distL="0" distR="0" wp14:anchorId="55C4A8D9" wp14:editId="748E749B">
                            <wp:extent cx="1476375" cy="574549"/>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png"/>
                                    <pic:cNvPicPr/>
                                  </pic:nvPicPr>
                                  <pic:blipFill>
                                    <a:blip r:embed="rId8">
                                      <a:extLst>
                                        <a:ext uri="{28A0092B-C50C-407E-A947-70E740481C1C}">
                                          <a14:useLocalDpi xmlns:a14="http://schemas.microsoft.com/office/drawing/2010/main" val="0"/>
                                        </a:ext>
                                      </a:extLst>
                                    </a:blip>
                                    <a:stretch>
                                      <a:fillRect/>
                                    </a:stretch>
                                  </pic:blipFill>
                                  <pic:spPr>
                                    <a:xfrm>
                                      <a:off x="0" y="0"/>
                                      <a:ext cx="1483888" cy="577473"/>
                                    </a:xfrm>
                                    <a:prstGeom prst="rect">
                                      <a:avLst/>
                                    </a:prstGeom>
                                  </pic:spPr>
                                </pic:pic>
                              </a:graphicData>
                            </a:graphic>
                          </wp:inline>
                        </w:drawing>
                      </w:r>
                    </w:p>
                    <w:p w:rsidR="007551CB" w:rsidRDefault="007551CB" w:rsidP="007551CB">
                      <w:pPr>
                        <w:spacing w:after="0" w:line="240" w:lineRule="auto"/>
                      </w:pPr>
                    </w:p>
                    <w:p w:rsidR="007551CB" w:rsidRDefault="007551CB" w:rsidP="007551CB">
                      <w:pPr>
                        <w:spacing w:after="0" w:line="240" w:lineRule="auto"/>
                        <w:rPr>
                          <w:b/>
                        </w:rPr>
                      </w:pPr>
                      <w:r w:rsidRPr="00FF34EE">
                        <w:rPr>
                          <w:b/>
                        </w:rPr>
                        <w:t>C</w:t>
                      </w:r>
                      <w:r>
                        <w:rPr>
                          <w:b/>
                        </w:rPr>
                        <w:t xml:space="preserve">ounseling Pearls for Antibiotics </w:t>
                      </w:r>
                      <w:r w:rsidRPr="00FF34EE">
                        <w:rPr>
                          <w:b/>
                        </w:rPr>
                        <w:t>Commonly Used by Dentists:</w:t>
                      </w:r>
                    </w:p>
                    <w:p w:rsidR="007551CB" w:rsidRPr="00BC06EC" w:rsidRDefault="007551CB" w:rsidP="007551CB">
                      <w:pPr>
                        <w:spacing w:after="0" w:line="240" w:lineRule="auto"/>
                        <w:rPr>
                          <w:b/>
                        </w:rPr>
                      </w:pPr>
                    </w:p>
                    <w:p w:rsidR="007551CB" w:rsidRDefault="007551CB" w:rsidP="007551CB">
                      <w:pPr>
                        <w:spacing w:after="0" w:line="240" w:lineRule="auto"/>
                      </w:pPr>
                      <w:r>
                        <w:t>Beta-lactams (such as penicillin V potassium, amoxicillin, amoxicillin-clavulanate, and cephalexin)</w:t>
                      </w:r>
                    </w:p>
                    <w:p w:rsidR="007551CB" w:rsidRPr="00C85834" w:rsidRDefault="007551CB" w:rsidP="007551CB">
                      <w:pPr>
                        <w:pStyle w:val="ListParagraph"/>
                        <w:numPr>
                          <w:ilvl w:val="0"/>
                          <w:numId w:val="6"/>
                        </w:numPr>
                        <w:spacing w:after="0" w:line="240" w:lineRule="auto"/>
                      </w:pPr>
                      <w:r w:rsidRPr="00C85834">
                        <w:t>May be taken with or without food.</w:t>
                      </w:r>
                    </w:p>
                    <w:p w:rsidR="007551CB" w:rsidRPr="00BC06EC" w:rsidRDefault="007551CB" w:rsidP="007551CB">
                      <w:pPr>
                        <w:pStyle w:val="ListParagraph"/>
                        <w:numPr>
                          <w:ilvl w:val="0"/>
                          <w:numId w:val="6"/>
                        </w:numPr>
                        <w:spacing w:after="0" w:line="240" w:lineRule="auto"/>
                        <w:rPr>
                          <w:b/>
                        </w:rPr>
                      </w:pPr>
                      <w:r>
                        <w:t>Allergic reaction rarely occur (most common = mild rash)</w:t>
                      </w:r>
                    </w:p>
                    <w:p w:rsidR="007551CB" w:rsidRPr="00BC06EC" w:rsidRDefault="007551CB" w:rsidP="007551CB">
                      <w:pPr>
                        <w:pStyle w:val="ListParagraph"/>
                        <w:numPr>
                          <w:ilvl w:val="0"/>
                          <w:numId w:val="6"/>
                        </w:numPr>
                        <w:spacing w:after="0" w:line="240" w:lineRule="auto"/>
                        <w:rPr>
                          <w:b/>
                        </w:rPr>
                      </w:pPr>
                      <w:r>
                        <w:t>In general, beta-lactams are considered safe with minimal risk of side effects.</w:t>
                      </w:r>
                      <w:r w:rsidRPr="00C85834">
                        <w:t xml:space="preserve"> </w:t>
                      </w:r>
                    </w:p>
                    <w:p w:rsidR="007551CB" w:rsidRPr="00BC06EC" w:rsidRDefault="007551CB" w:rsidP="007551CB">
                      <w:pPr>
                        <w:pStyle w:val="ListParagraph"/>
                        <w:numPr>
                          <w:ilvl w:val="0"/>
                          <w:numId w:val="6"/>
                        </w:numPr>
                        <w:spacing w:after="0" w:line="240" w:lineRule="auto"/>
                        <w:rPr>
                          <w:b/>
                        </w:rPr>
                      </w:pPr>
                      <w:r>
                        <w:t xml:space="preserve">Diarrhea can occur, but more likely after prolonged courses.  Non-infectious, antibiotic-associated diarrhea is typically mild.  However, if 3 or more loose stools/day for 1-2 days develops while on antibiotics, the patient should contact their primary care provider to be evaluated for antibiotic-associated </w:t>
                      </w:r>
                      <w:r w:rsidRPr="00BC06EC">
                        <w:rPr>
                          <w:i/>
                        </w:rPr>
                        <w:t>Clostridioides difficile</w:t>
                      </w:r>
                      <w:r>
                        <w:t xml:space="preserve"> infection.</w:t>
                      </w:r>
                    </w:p>
                    <w:p w:rsidR="007551CB" w:rsidRDefault="007551CB" w:rsidP="007551CB">
                      <w:pPr>
                        <w:spacing w:after="0" w:line="240" w:lineRule="auto"/>
                      </w:pPr>
                      <w:r>
                        <w:t xml:space="preserve">Azithromycin </w:t>
                      </w:r>
                    </w:p>
                    <w:p w:rsidR="007551CB" w:rsidRDefault="007551CB" w:rsidP="007551CB">
                      <w:pPr>
                        <w:pStyle w:val="ListParagraph"/>
                        <w:numPr>
                          <w:ilvl w:val="0"/>
                          <w:numId w:val="7"/>
                        </w:numPr>
                        <w:spacing w:after="0" w:line="240" w:lineRule="auto"/>
                      </w:pPr>
                      <w:r>
                        <w:t>Commonly referred to as a “Z-</w:t>
                      </w:r>
                      <w:proofErr w:type="spellStart"/>
                      <w:r>
                        <w:t>pak</w:t>
                      </w:r>
                      <w:proofErr w:type="spellEnd"/>
                      <w:r>
                        <w:t>”.</w:t>
                      </w:r>
                    </w:p>
                    <w:p w:rsidR="007551CB" w:rsidRDefault="007551CB" w:rsidP="007551CB">
                      <w:pPr>
                        <w:pStyle w:val="ListParagraph"/>
                        <w:numPr>
                          <w:ilvl w:val="0"/>
                          <w:numId w:val="7"/>
                        </w:numPr>
                        <w:spacing w:after="0" w:line="240" w:lineRule="auto"/>
                      </w:pPr>
                      <w:r>
                        <w:t>Take with or without food, but food may reduce stomach upset.</w:t>
                      </w:r>
                    </w:p>
                    <w:p w:rsidR="007551CB" w:rsidRDefault="007551CB" w:rsidP="007551CB">
                      <w:pPr>
                        <w:pStyle w:val="ListParagraph"/>
                        <w:numPr>
                          <w:ilvl w:val="0"/>
                          <w:numId w:val="7"/>
                        </w:numPr>
                        <w:spacing w:after="0" w:line="240" w:lineRule="auto"/>
                      </w:pPr>
                      <w:r>
                        <w:t>Side effects in some patients include nausea, vomiting or diarrhea.</w:t>
                      </w:r>
                    </w:p>
                    <w:p w:rsidR="007551CB" w:rsidRDefault="007551CB" w:rsidP="007551CB">
                      <w:pPr>
                        <w:pStyle w:val="ListParagraph"/>
                        <w:numPr>
                          <w:ilvl w:val="0"/>
                          <w:numId w:val="7"/>
                        </w:numPr>
                        <w:spacing w:after="0" w:line="240" w:lineRule="auto"/>
                      </w:pPr>
                      <w:r>
                        <w:t>There is a small (&lt;1%) risk of cardiotoxicity, and use caution in patients that are administered concomitant medications that can prolong the QTc interval.</w:t>
                      </w:r>
                    </w:p>
                    <w:p w:rsidR="007551CB" w:rsidRDefault="007551CB" w:rsidP="007551CB">
                      <w:pPr>
                        <w:spacing w:after="0" w:line="240" w:lineRule="auto"/>
                      </w:pPr>
                      <w:r>
                        <w:t>Clindamycin</w:t>
                      </w:r>
                    </w:p>
                    <w:p w:rsidR="007551CB" w:rsidRDefault="007551CB" w:rsidP="007551CB">
                      <w:pPr>
                        <w:pStyle w:val="ListParagraph"/>
                        <w:numPr>
                          <w:ilvl w:val="0"/>
                          <w:numId w:val="8"/>
                        </w:numPr>
                        <w:spacing w:after="0" w:line="240" w:lineRule="auto"/>
                      </w:pPr>
                      <w:r>
                        <w:t>Can take with or without food.</w:t>
                      </w:r>
                    </w:p>
                    <w:p w:rsidR="007551CB" w:rsidRPr="00BC06EC" w:rsidRDefault="007551CB" w:rsidP="007551CB">
                      <w:pPr>
                        <w:pStyle w:val="ListParagraph"/>
                        <w:numPr>
                          <w:ilvl w:val="0"/>
                          <w:numId w:val="8"/>
                        </w:numPr>
                        <w:spacing w:after="0" w:line="240" w:lineRule="auto"/>
                        <w:rPr>
                          <w:b/>
                        </w:rPr>
                      </w:pPr>
                      <w:r>
                        <w:t xml:space="preserve">Diarrhea can occur, even after a single dose.  If 3 or more loose stools/day for 1-2 days develops while on antibiotics, the patient should contact their primary care provider to be evaluated for antibiotic-associated </w:t>
                      </w:r>
                      <w:r w:rsidRPr="00BC06EC">
                        <w:rPr>
                          <w:i/>
                        </w:rPr>
                        <w:t>Clostridioides difficile</w:t>
                      </w:r>
                      <w:r>
                        <w:t xml:space="preserve"> infection.</w:t>
                      </w:r>
                    </w:p>
                    <w:p w:rsidR="007551CB" w:rsidRDefault="007551CB" w:rsidP="007551CB">
                      <w:pPr>
                        <w:spacing w:after="0" w:line="240" w:lineRule="auto"/>
                      </w:pPr>
                      <w:r>
                        <w:t>Metronidazole</w:t>
                      </w:r>
                    </w:p>
                    <w:p w:rsidR="007551CB" w:rsidRDefault="007551CB" w:rsidP="007551CB">
                      <w:pPr>
                        <w:pStyle w:val="ListParagraph"/>
                        <w:numPr>
                          <w:ilvl w:val="0"/>
                          <w:numId w:val="9"/>
                        </w:numPr>
                        <w:spacing w:after="0" w:line="240" w:lineRule="auto"/>
                      </w:pPr>
                      <w:r>
                        <w:t>Administer with food to minimize stomach upset.</w:t>
                      </w:r>
                    </w:p>
                    <w:p w:rsidR="007551CB" w:rsidRDefault="007551CB" w:rsidP="007551CB">
                      <w:pPr>
                        <w:pStyle w:val="ListParagraph"/>
                        <w:numPr>
                          <w:ilvl w:val="0"/>
                          <w:numId w:val="9"/>
                        </w:numPr>
                        <w:spacing w:after="0" w:line="240" w:lineRule="auto"/>
                      </w:pPr>
                      <w:r>
                        <w:t>Metallic taste can occur for some patients.</w:t>
                      </w:r>
                    </w:p>
                    <w:p w:rsidR="007551CB" w:rsidRPr="00F47897" w:rsidRDefault="007551CB" w:rsidP="007551CB">
                      <w:pPr>
                        <w:pStyle w:val="ListParagraph"/>
                        <w:numPr>
                          <w:ilvl w:val="0"/>
                          <w:numId w:val="9"/>
                        </w:numPr>
                        <w:spacing w:after="0" w:line="240" w:lineRule="auto"/>
                      </w:pPr>
                      <w:r>
                        <w:t>Do not consume alcohol with taking this medication.</w:t>
                      </w:r>
                    </w:p>
                    <w:p w:rsidR="007551CB" w:rsidRDefault="007551CB" w:rsidP="007551CB"/>
                  </w:txbxContent>
                </v:textbox>
              </v:shape>
            </w:pict>
          </mc:Fallback>
        </mc:AlternateContent>
      </w:r>
      <w:r w:rsidR="00F02857">
        <w:rPr>
          <w:noProof/>
        </w:rPr>
        <mc:AlternateContent>
          <mc:Choice Requires="wps">
            <w:drawing>
              <wp:anchor distT="0" distB="0" distL="114300" distR="114300" simplePos="0" relativeHeight="251663360" behindDoc="0" locked="0" layoutInCell="1" allowOverlap="1" wp14:anchorId="240CC008" wp14:editId="182FAE54">
                <wp:simplePos x="0" y="0"/>
                <wp:positionH relativeFrom="column">
                  <wp:posOffset>-59055</wp:posOffset>
                </wp:positionH>
                <wp:positionV relativeFrom="paragraph">
                  <wp:posOffset>168910</wp:posOffset>
                </wp:positionV>
                <wp:extent cx="4610100" cy="71913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610100" cy="7191375"/>
                        </a:xfrm>
                        <a:prstGeom prst="rect">
                          <a:avLst/>
                        </a:prstGeom>
                        <a:solidFill>
                          <a:schemeClr val="bg1"/>
                        </a:solidFill>
                        <a:ln w="9525">
                          <a:solidFill>
                            <a:schemeClr val="bg1"/>
                          </a:solidFill>
                          <a:miter lim="800000"/>
                          <a:headEnd/>
                          <a:tailEnd/>
                        </a:ln>
                      </wps:spPr>
                      <wps:txbx>
                        <w:txbxContent>
                          <w:p w:rsidR="007551CB" w:rsidRDefault="007551CB" w:rsidP="007551CB">
                            <w:pPr>
                              <w:spacing w:after="0"/>
                              <w:rPr>
                                <w:b/>
                              </w:rPr>
                            </w:pPr>
                          </w:p>
                          <w:p w:rsidR="007551CB" w:rsidRDefault="007551CB" w:rsidP="007551CB">
                            <w:pPr>
                              <w:spacing w:after="0"/>
                              <w:rPr>
                                <w:b/>
                              </w:rPr>
                            </w:pPr>
                          </w:p>
                          <w:p w:rsidR="007551CB" w:rsidRDefault="007551CB" w:rsidP="007551CB">
                            <w:pPr>
                              <w:spacing w:after="0"/>
                              <w:rPr>
                                <w:b/>
                              </w:rPr>
                            </w:pPr>
                          </w:p>
                          <w:p w:rsidR="007551CB" w:rsidRPr="009C798B" w:rsidRDefault="007551CB" w:rsidP="007551CB">
                            <w:pPr>
                              <w:spacing w:after="0"/>
                              <w:rPr>
                                <w:b/>
                              </w:rPr>
                            </w:pPr>
                            <w:r w:rsidRPr="009C798B">
                              <w:rPr>
                                <w:b/>
                              </w:rPr>
                              <w:t>Introduction:</w:t>
                            </w:r>
                          </w:p>
                          <w:p w:rsidR="007551CB" w:rsidRDefault="007551CB" w:rsidP="007551CB">
                            <w:pPr>
                              <w:spacing w:after="0"/>
                              <w:rPr>
                                <w:sz w:val="21"/>
                                <w:szCs w:val="21"/>
                              </w:rPr>
                            </w:pPr>
                            <w:r w:rsidRPr="00820BC2">
                              <w:rPr>
                                <w:sz w:val="21"/>
                                <w:szCs w:val="21"/>
                              </w:rPr>
                              <w:t>Dentists prescribe 10% of all outpatient antibiotic prescriptions, writing more than 25.7 million prescriptions each year.  General and specialty dentists are the third highest prescribers of antibiotics in all outpatient settings in the US.</w:t>
                            </w:r>
                            <w:r w:rsidRPr="00820BC2">
                              <w:rPr>
                                <w:sz w:val="21"/>
                                <w:szCs w:val="21"/>
                                <w:vertAlign w:val="superscript"/>
                              </w:rPr>
                              <w:t>1</w:t>
                            </w:r>
                            <w:r w:rsidRPr="00820BC2">
                              <w:rPr>
                                <w:sz w:val="21"/>
                                <w:szCs w:val="21"/>
                              </w:rPr>
                              <w:t xml:space="preserve">   Reports from 2017-2019 suggest that 30-85% of dental antibiotic prescriptions are “suboptimal or not indicated”.</w:t>
                            </w:r>
                            <w:r w:rsidRPr="00820BC2">
                              <w:rPr>
                                <w:sz w:val="21"/>
                                <w:szCs w:val="21"/>
                                <w:vertAlign w:val="superscript"/>
                              </w:rPr>
                              <w:t>2-4</w:t>
                            </w:r>
                            <w:r w:rsidRPr="00820BC2">
                              <w:rPr>
                                <w:sz w:val="21"/>
                                <w:szCs w:val="21"/>
                              </w:rPr>
                              <w:t xml:space="preserve">  </w:t>
                            </w:r>
                            <w:r>
                              <w:rPr>
                                <w:sz w:val="21"/>
                                <w:szCs w:val="21"/>
                              </w:rPr>
                              <w:t xml:space="preserve"> </w:t>
                            </w:r>
                            <w:r w:rsidRPr="00820BC2">
                              <w:rPr>
                                <w:sz w:val="21"/>
                                <w:szCs w:val="21"/>
                              </w:rPr>
                              <w:t xml:space="preserve">We hope a summary of available literature in these Chicago Department of Public Health (CDPH) dental prescribing guidelines will help guide more judicious use of antibiotics in your dental practice.  Please use the previously distributed Dental Toolkit binder as references for additional resources and literature on dental antimicrobial stewardship. </w:t>
                            </w:r>
                          </w:p>
                          <w:p w:rsidR="007551CB" w:rsidRPr="00820BC2" w:rsidRDefault="007551CB" w:rsidP="007551CB">
                            <w:pPr>
                              <w:spacing w:after="0"/>
                              <w:rPr>
                                <w:sz w:val="21"/>
                                <w:szCs w:val="21"/>
                              </w:rPr>
                            </w:pPr>
                          </w:p>
                          <w:tbl>
                            <w:tblPr>
                              <w:tblStyle w:val="TableGrid"/>
                              <w:tblW w:w="0" w:type="auto"/>
                              <w:tblInd w:w="108" w:type="dxa"/>
                              <w:tblLook w:val="04A0" w:firstRow="1" w:lastRow="0" w:firstColumn="1" w:lastColumn="0" w:noHBand="0" w:noVBand="1"/>
                            </w:tblPr>
                            <w:tblGrid>
                              <w:gridCol w:w="6840"/>
                            </w:tblGrid>
                            <w:tr w:rsidR="007551CB" w:rsidTr="00214B78">
                              <w:tc>
                                <w:tcPr>
                                  <w:tcW w:w="6840" w:type="dxa"/>
                                  <w:shd w:val="clear" w:color="auto" w:fill="00B0F0"/>
                                </w:tcPr>
                                <w:p w:rsidR="007551CB" w:rsidRPr="005112DE" w:rsidRDefault="007551CB" w:rsidP="00214B78">
                                  <w:pPr>
                                    <w:jc w:val="center"/>
                                    <w:rPr>
                                      <w:b/>
                                      <w:sz w:val="28"/>
                                      <w:szCs w:val="28"/>
                                    </w:rPr>
                                  </w:pPr>
                                  <w:r w:rsidRPr="005112DE">
                                    <w:rPr>
                                      <w:b/>
                                      <w:color w:val="FFFFFF" w:themeColor="background1"/>
                                      <w:sz w:val="28"/>
                                      <w:szCs w:val="28"/>
                                    </w:rPr>
                                    <w:t>TREATMENT REGIMENS</w:t>
                                  </w:r>
                                </w:p>
                              </w:tc>
                            </w:tr>
                          </w:tbl>
                          <w:p w:rsidR="007551CB" w:rsidRDefault="007551CB" w:rsidP="007551CB">
                            <w:pPr>
                              <w:spacing w:after="0" w:line="240" w:lineRule="auto"/>
                            </w:pPr>
                          </w:p>
                          <w:tbl>
                            <w:tblPr>
                              <w:tblStyle w:val="TableGrid"/>
                              <w:tblW w:w="0" w:type="auto"/>
                              <w:jc w:val="center"/>
                              <w:tblInd w:w="-446" w:type="dxa"/>
                              <w:tblLook w:val="04A0" w:firstRow="1" w:lastRow="0" w:firstColumn="1" w:lastColumn="0" w:noHBand="0" w:noVBand="1"/>
                            </w:tblPr>
                            <w:tblGrid>
                              <w:gridCol w:w="6888"/>
                            </w:tblGrid>
                            <w:tr w:rsidR="007551CB" w:rsidTr="00214B78">
                              <w:trPr>
                                <w:jc w:val="center"/>
                              </w:trPr>
                              <w:tc>
                                <w:tcPr>
                                  <w:tcW w:w="6888" w:type="dxa"/>
                                  <w:shd w:val="clear" w:color="auto" w:fill="00B0F0"/>
                                </w:tcPr>
                                <w:p w:rsidR="007551CB" w:rsidRPr="005112DE" w:rsidRDefault="007551CB" w:rsidP="005F059C">
                                  <w:pPr>
                                    <w:rPr>
                                      <w:sz w:val="24"/>
                                      <w:szCs w:val="24"/>
                                      <w:vertAlign w:val="superscript"/>
                                    </w:rPr>
                                  </w:pPr>
                                  <w:r>
                                    <w:rPr>
                                      <w:b/>
                                      <w:color w:val="FFFFFF" w:themeColor="background1"/>
                                      <w:sz w:val="24"/>
                                      <w:szCs w:val="24"/>
                                    </w:rPr>
                                    <w:t xml:space="preserve">#1) </w:t>
                                  </w:r>
                                  <w:r w:rsidRPr="005112DE">
                                    <w:rPr>
                                      <w:b/>
                                      <w:color w:val="FFFFFF" w:themeColor="background1"/>
                                      <w:sz w:val="24"/>
                                      <w:szCs w:val="24"/>
                                    </w:rPr>
                                    <w:t>Acute oral bacterial infection (cellulitis or abscess):</w:t>
                                  </w:r>
                                  <w:r w:rsidRPr="005112DE">
                                    <w:rPr>
                                      <w:color w:val="FFFFFF" w:themeColor="background1"/>
                                      <w:sz w:val="24"/>
                                      <w:szCs w:val="24"/>
                                      <w:vertAlign w:val="superscript"/>
                                    </w:rPr>
                                    <w:t>5,6</w:t>
                                  </w:r>
                                </w:p>
                              </w:tc>
                            </w:tr>
                            <w:tr w:rsidR="007551CB" w:rsidTr="00214B78">
                              <w:trPr>
                                <w:jc w:val="center"/>
                              </w:trPr>
                              <w:tc>
                                <w:tcPr>
                                  <w:tcW w:w="6888" w:type="dxa"/>
                                  <w:shd w:val="clear" w:color="auto" w:fill="BFBFBF" w:themeFill="background1" w:themeFillShade="BF"/>
                                </w:tcPr>
                                <w:p w:rsidR="007551CB" w:rsidRPr="00950208" w:rsidRDefault="007551CB" w:rsidP="005F059C">
                                  <w:pPr>
                                    <w:rPr>
                                      <w:b/>
                                    </w:rPr>
                                  </w:pPr>
                                  <w:r w:rsidRPr="00950208">
                                    <w:rPr>
                                      <w:b/>
                                    </w:rPr>
                                    <w:t>Management</w:t>
                                  </w:r>
                                </w:p>
                              </w:tc>
                            </w:tr>
                            <w:tr w:rsidR="007551CB" w:rsidTr="00214B78">
                              <w:trPr>
                                <w:jc w:val="center"/>
                              </w:trPr>
                              <w:tc>
                                <w:tcPr>
                                  <w:tcW w:w="6888" w:type="dxa"/>
                                </w:tcPr>
                                <w:p w:rsidR="007551CB" w:rsidRDefault="007551CB" w:rsidP="005F059C">
                                  <w:r w:rsidRPr="00820BC2">
                                    <w:rPr>
                                      <w:sz w:val="21"/>
                                      <w:szCs w:val="21"/>
                                    </w:rPr>
                                    <w:t>Depending on the extent of the infection and any signs of systemic spread of infection (fever or malaise), or if the patient is immunosuppressed/otherwise medically compromised, antibiotics can be considered.  Primary treatment is the surgical resolution of the dental problem; antibiotics are secondary to that process</w:t>
                                  </w:r>
                                  <w:r>
                                    <w:t>.</w:t>
                                  </w:r>
                                </w:p>
                              </w:tc>
                            </w:tr>
                            <w:tr w:rsidR="007551CB" w:rsidTr="00214B78">
                              <w:trPr>
                                <w:jc w:val="center"/>
                              </w:trPr>
                              <w:tc>
                                <w:tcPr>
                                  <w:tcW w:w="6888" w:type="dxa"/>
                                  <w:shd w:val="clear" w:color="auto" w:fill="BFBFBF" w:themeFill="background1" w:themeFillShade="BF"/>
                                </w:tcPr>
                                <w:p w:rsidR="007551CB" w:rsidRPr="00950208" w:rsidRDefault="007551CB" w:rsidP="005F059C">
                                  <w:pPr>
                                    <w:rPr>
                                      <w:b/>
                                    </w:rPr>
                                  </w:pPr>
                                  <w:r w:rsidRPr="00950208">
                                    <w:rPr>
                                      <w:b/>
                                    </w:rPr>
                                    <w:t xml:space="preserve">Treatment </w:t>
                                  </w:r>
                                </w:p>
                              </w:tc>
                            </w:tr>
                            <w:tr w:rsidR="007551CB" w:rsidTr="00214B78">
                              <w:trPr>
                                <w:trHeight w:val="2645"/>
                                <w:jc w:val="center"/>
                              </w:trPr>
                              <w:tc>
                                <w:tcPr>
                                  <w:tcW w:w="6888" w:type="dxa"/>
                                </w:tcPr>
                                <w:p w:rsidR="007551CB" w:rsidRPr="00820BC2" w:rsidRDefault="007551CB" w:rsidP="005F059C">
                                  <w:pPr>
                                    <w:rPr>
                                      <w:sz w:val="21"/>
                                      <w:szCs w:val="21"/>
                                    </w:rPr>
                                  </w:pPr>
                                  <w:r w:rsidRPr="00820BC2">
                                    <w:rPr>
                                      <w:sz w:val="21"/>
                                      <w:szCs w:val="21"/>
                                    </w:rPr>
                                    <w:t xml:space="preserve">When pulpotomy, pulpectomy, nonsurgical root canal treatment, incision for drainage of abscess (Definitive, Conservative Dental Treatment or DCDT) or extraction are an immediate option (same day), antibiotics are </w:t>
                                  </w:r>
                                  <w:r>
                                    <w:rPr>
                                      <w:b/>
                                      <w:sz w:val="21"/>
                                      <w:szCs w:val="21"/>
                                      <w:u w:val="single"/>
                                    </w:rPr>
                                    <w:t>not indicated</w:t>
                                  </w:r>
                                  <w:r w:rsidRPr="00820BC2">
                                    <w:rPr>
                                      <w:sz w:val="21"/>
                                      <w:szCs w:val="21"/>
                                    </w:rPr>
                                    <w:t xml:space="preserve"> </w:t>
                                  </w:r>
                                  <w:r>
                                    <w:rPr>
                                      <w:sz w:val="21"/>
                                      <w:szCs w:val="21"/>
                                    </w:rPr>
                                    <w:t xml:space="preserve">as </w:t>
                                  </w:r>
                                  <w:r w:rsidRPr="00820BC2">
                                    <w:rPr>
                                      <w:sz w:val="21"/>
                                      <w:szCs w:val="21"/>
                                    </w:rPr>
                                    <w:t>adjunct to care in most</w:t>
                                  </w:r>
                                  <w:r>
                                    <w:rPr>
                                      <w:sz w:val="21"/>
                                      <w:szCs w:val="21"/>
                                    </w:rPr>
                                    <w:t>ly all</w:t>
                                  </w:r>
                                  <w:r w:rsidRPr="00820BC2">
                                    <w:rPr>
                                      <w:sz w:val="21"/>
                                      <w:szCs w:val="21"/>
                                    </w:rPr>
                                    <w:t xml:space="preserve"> cases.  </w:t>
                                  </w:r>
                                </w:p>
                                <w:p w:rsidR="007551CB" w:rsidRPr="00820BC2" w:rsidRDefault="007551CB" w:rsidP="00587856">
                                  <w:pPr>
                                    <w:pStyle w:val="ListParagraph"/>
                                    <w:numPr>
                                      <w:ilvl w:val="0"/>
                                      <w:numId w:val="2"/>
                                    </w:numPr>
                                  </w:pPr>
                                  <w:r w:rsidRPr="00820BC2">
                                    <w:rPr>
                                      <w:b/>
                                      <w:sz w:val="21"/>
                                      <w:szCs w:val="21"/>
                                      <w:u w:val="single"/>
                                    </w:rPr>
                                    <w:t>Do not</w:t>
                                  </w:r>
                                  <w:r w:rsidRPr="00820BC2">
                                    <w:rPr>
                                      <w:sz w:val="21"/>
                                      <w:szCs w:val="21"/>
                                    </w:rPr>
                                    <w:t xml:space="preserve"> prescribe oral systemic antibiotics as adjunct to DCDT or extraction for immunocompetent adults with irreversible pulpitis, pulp necrosis, and symptomatic apical periodontitis or localized acute apical abscess unless they present with extraoral or severe intraoral swelling, and/or exhibit signs of </w:t>
                                  </w:r>
                                </w:p>
                                <w:p w:rsidR="007551CB" w:rsidRDefault="007551CB" w:rsidP="005F059C">
                                  <w:pPr>
                                    <w:pStyle w:val="ListParagraph"/>
                                  </w:pPr>
                                  <w:proofErr w:type="gramStart"/>
                                  <w:r w:rsidRPr="00820BC2">
                                    <w:rPr>
                                      <w:sz w:val="21"/>
                                      <w:szCs w:val="21"/>
                                    </w:rPr>
                                    <w:t>systemic</w:t>
                                  </w:r>
                                  <w:proofErr w:type="gramEnd"/>
                                  <w:r w:rsidRPr="00820BC2">
                                    <w:rPr>
                                      <w:sz w:val="21"/>
                                      <w:szCs w:val="21"/>
                                    </w:rPr>
                                    <w:t xml:space="preserve"> illness.</w:t>
                                  </w:r>
                                  <w:r>
                                    <w:t xml:space="preserve"> </w:t>
                                  </w:r>
                                </w:p>
                              </w:tc>
                            </w:tr>
                          </w:tbl>
                          <w:p w:rsidR="007551CB" w:rsidRDefault="007551CB" w:rsidP="007551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65pt;margin-top:13.3pt;width:363pt;height:566.2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" fillcolor="white [3212]" strokecolor="white [3212]">
                <v:textbox>
                  <w:txbxContent>
                    <w:p w:rsidR="007551CB" w:rsidRDefault="007551CB" w:rsidP="007551CB">
                      <w:pPr>
                        <w:spacing w:after="0"/>
                        <w:rPr>
                          <w:b/>
                        </w:rPr>
                      </w:pPr>
                    </w:p>
                    <w:p w:rsidR="007551CB" w:rsidRDefault="007551CB" w:rsidP="007551CB">
                      <w:pPr>
                        <w:spacing w:after="0"/>
                        <w:rPr>
                          <w:b/>
                        </w:rPr>
                      </w:pPr>
                    </w:p>
                    <w:p w:rsidR="007551CB" w:rsidRDefault="007551CB" w:rsidP="007551CB">
                      <w:pPr>
                        <w:spacing w:after="0"/>
                        <w:rPr>
                          <w:b/>
                        </w:rPr>
                      </w:pPr>
                    </w:p>
                    <w:p w:rsidR="007551CB" w:rsidRPr="009C798B" w:rsidRDefault="007551CB" w:rsidP="007551CB">
                      <w:pPr>
                        <w:spacing w:after="0"/>
                        <w:rPr>
                          <w:b/>
                        </w:rPr>
                      </w:pPr>
                      <w:r w:rsidRPr="009C798B">
                        <w:rPr>
                          <w:b/>
                        </w:rPr>
                        <w:t>Introduction:</w:t>
                      </w:r>
                    </w:p>
                    <w:p w:rsidR="007551CB" w:rsidRDefault="007551CB" w:rsidP="007551CB">
                      <w:pPr>
                        <w:spacing w:after="0"/>
                        <w:rPr>
                          <w:sz w:val="21"/>
                          <w:szCs w:val="21"/>
                        </w:rPr>
                      </w:pPr>
                      <w:r w:rsidRPr="00820BC2">
                        <w:rPr>
                          <w:sz w:val="21"/>
                          <w:szCs w:val="21"/>
                        </w:rPr>
                        <w:t>Dentists prescribe 10% of all outpatient antibiotic prescriptions, writing more than 25.7 million prescriptions each year.  General and specialty dentists are the third highest prescribers of antibiotics in all outpatient settings in the US.</w:t>
                      </w:r>
                      <w:r w:rsidRPr="00820BC2">
                        <w:rPr>
                          <w:sz w:val="21"/>
                          <w:szCs w:val="21"/>
                          <w:vertAlign w:val="superscript"/>
                        </w:rPr>
                        <w:t>1</w:t>
                      </w:r>
                      <w:r w:rsidRPr="00820BC2">
                        <w:rPr>
                          <w:sz w:val="21"/>
                          <w:szCs w:val="21"/>
                        </w:rPr>
                        <w:t xml:space="preserve">   Reports from 2017-2019 suggest that 30-85% of dental antibiotic prescriptions are “suboptimal or not indicated”.</w:t>
                      </w:r>
                      <w:r w:rsidRPr="00820BC2">
                        <w:rPr>
                          <w:sz w:val="21"/>
                          <w:szCs w:val="21"/>
                          <w:vertAlign w:val="superscript"/>
                        </w:rPr>
                        <w:t>2-4</w:t>
                      </w:r>
                      <w:r w:rsidRPr="00820BC2">
                        <w:rPr>
                          <w:sz w:val="21"/>
                          <w:szCs w:val="21"/>
                        </w:rPr>
                        <w:t xml:space="preserve">  </w:t>
                      </w:r>
                      <w:r>
                        <w:rPr>
                          <w:sz w:val="21"/>
                          <w:szCs w:val="21"/>
                        </w:rPr>
                        <w:t xml:space="preserve"> </w:t>
                      </w:r>
                      <w:r w:rsidRPr="00820BC2">
                        <w:rPr>
                          <w:sz w:val="21"/>
                          <w:szCs w:val="21"/>
                        </w:rPr>
                        <w:t xml:space="preserve">We hope a summary of available literature in these Chicago Department of Public Health (CDPH) dental prescribing guidelines will help guide more judicious use of antibiotics in your dental practice.  Please use the previously distributed Dental Toolkit binder as references for additional resources and literature on dental antimicrobial stewardship. </w:t>
                      </w:r>
                    </w:p>
                    <w:p w:rsidR="007551CB" w:rsidRPr="00820BC2" w:rsidRDefault="007551CB" w:rsidP="007551CB">
                      <w:pPr>
                        <w:spacing w:after="0"/>
                        <w:rPr>
                          <w:sz w:val="21"/>
                          <w:szCs w:val="21"/>
                        </w:rPr>
                      </w:pPr>
                    </w:p>
                    <w:tbl>
                      <w:tblPr>
                        <w:tblStyle w:val="TableGrid"/>
                        <w:tblW w:w="0" w:type="auto"/>
                        <w:tblInd w:w="108" w:type="dxa"/>
                        <w:tblLook w:val="04A0" w:firstRow="1" w:lastRow="0" w:firstColumn="1" w:lastColumn="0" w:noHBand="0" w:noVBand="1"/>
                      </w:tblPr>
                      <w:tblGrid>
                        <w:gridCol w:w="6840"/>
                      </w:tblGrid>
                      <w:tr w:rsidR="007551CB" w:rsidTr="00214B78">
                        <w:tc>
                          <w:tcPr>
                            <w:tcW w:w="6840" w:type="dxa"/>
                            <w:shd w:val="clear" w:color="auto" w:fill="00B0F0"/>
                          </w:tcPr>
                          <w:p w:rsidR="007551CB" w:rsidRPr="005112DE" w:rsidRDefault="007551CB" w:rsidP="00214B78">
                            <w:pPr>
                              <w:jc w:val="center"/>
                              <w:rPr>
                                <w:b/>
                                <w:sz w:val="28"/>
                                <w:szCs w:val="28"/>
                              </w:rPr>
                            </w:pPr>
                            <w:r w:rsidRPr="005112DE">
                              <w:rPr>
                                <w:b/>
                                <w:color w:val="FFFFFF" w:themeColor="background1"/>
                                <w:sz w:val="28"/>
                                <w:szCs w:val="28"/>
                              </w:rPr>
                              <w:t>TREATMENT REGIMENS</w:t>
                            </w:r>
                          </w:p>
                        </w:tc>
                      </w:tr>
                    </w:tbl>
                    <w:p w:rsidR="007551CB" w:rsidRDefault="007551CB" w:rsidP="007551CB">
                      <w:pPr>
                        <w:spacing w:after="0" w:line="240" w:lineRule="auto"/>
                      </w:pPr>
                    </w:p>
                    <w:tbl>
                      <w:tblPr>
                        <w:tblStyle w:val="TableGrid"/>
                        <w:tblW w:w="0" w:type="auto"/>
                        <w:jc w:val="center"/>
                        <w:tblInd w:w="-446" w:type="dxa"/>
                        <w:tblLook w:val="04A0" w:firstRow="1" w:lastRow="0" w:firstColumn="1" w:lastColumn="0" w:noHBand="0" w:noVBand="1"/>
                      </w:tblPr>
                      <w:tblGrid>
                        <w:gridCol w:w="6888"/>
                      </w:tblGrid>
                      <w:tr w:rsidR="007551CB" w:rsidTr="00214B78">
                        <w:trPr>
                          <w:jc w:val="center"/>
                        </w:trPr>
                        <w:tc>
                          <w:tcPr>
                            <w:tcW w:w="6888" w:type="dxa"/>
                            <w:shd w:val="clear" w:color="auto" w:fill="00B0F0"/>
                          </w:tcPr>
                          <w:p w:rsidR="007551CB" w:rsidRPr="005112DE" w:rsidRDefault="007551CB" w:rsidP="005F059C">
                            <w:pPr>
                              <w:rPr>
                                <w:sz w:val="24"/>
                                <w:szCs w:val="24"/>
                                <w:vertAlign w:val="superscript"/>
                              </w:rPr>
                            </w:pPr>
                            <w:r>
                              <w:rPr>
                                <w:b/>
                                <w:color w:val="FFFFFF" w:themeColor="background1"/>
                                <w:sz w:val="24"/>
                                <w:szCs w:val="24"/>
                              </w:rPr>
                              <w:t xml:space="preserve">#1) </w:t>
                            </w:r>
                            <w:r w:rsidRPr="005112DE">
                              <w:rPr>
                                <w:b/>
                                <w:color w:val="FFFFFF" w:themeColor="background1"/>
                                <w:sz w:val="24"/>
                                <w:szCs w:val="24"/>
                              </w:rPr>
                              <w:t>Acute oral bacterial infection (cellulitis or abscess):</w:t>
                            </w:r>
                            <w:r w:rsidRPr="005112DE">
                              <w:rPr>
                                <w:color w:val="FFFFFF" w:themeColor="background1"/>
                                <w:sz w:val="24"/>
                                <w:szCs w:val="24"/>
                                <w:vertAlign w:val="superscript"/>
                              </w:rPr>
                              <w:t>5,6</w:t>
                            </w:r>
                          </w:p>
                        </w:tc>
                      </w:tr>
                      <w:tr w:rsidR="007551CB" w:rsidTr="00214B78">
                        <w:trPr>
                          <w:jc w:val="center"/>
                        </w:trPr>
                        <w:tc>
                          <w:tcPr>
                            <w:tcW w:w="6888" w:type="dxa"/>
                            <w:shd w:val="clear" w:color="auto" w:fill="BFBFBF" w:themeFill="background1" w:themeFillShade="BF"/>
                          </w:tcPr>
                          <w:p w:rsidR="007551CB" w:rsidRPr="00950208" w:rsidRDefault="007551CB" w:rsidP="005F059C">
                            <w:pPr>
                              <w:rPr>
                                <w:b/>
                              </w:rPr>
                            </w:pPr>
                            <w:r w:rsidRPr="00950208">
                              <w:rPr>
                                <w:b/>
                              </w:rPr>
                              <w:t>Management</w:t>
                            </w:r>
                          </w:p>
                        </w:tc>
                      </w:tr>
                      <w:tr w:rsidR="007551CB" w:rsidTr="00214B78">
                        <w:trPr>
                          <w:jc w:val="center"/>
                        </w:trPr>
                        <w:tc>
                          <w:tcPr>
                            <w:tcW w:w="6888" w:type="dxa"/>
                          </w:tcPr>
                          <w:p w:rsidR="007551CB" w:rsidRDefault="007551CB" w:rsidP="005F059C">
                            <w:r w:rsidRPr="00820BC2">
                              <w:rPr>
                                <w:sz w:val="21"/>
                                <w:szCs w:val="21"/>
                              </w:rPr>
                              <w:t>Depending on the extent of the infection and any signs of systemic spread of infection (fever or malaise), or if the patient is immunosuppressed/otherwise medically compromised, antibiotics can be considered.  Primary treatment is the surgical resolution of the dental problem; antibiotics are secondary to that process</w:t>
                            </w:r>
                            <w:r>
                              <w:t>.</w:t>
                            </w:r>
                          </w:p>
                        </w:tc>
                      </w:tr>
                      <w:tr w:rsidR="007551CB" w:rsidTr="00214B78">
                        <w:trPr>
                          <w:jc w:val="center"/>
                        </w:trPr>
                        <w:tc>
                          <w:tcPr>
                            <w:tcW w:w="6888" w:type="dxa"/>
                            <w:shd w:val="clear" w:color="auto" w:fill="BFBFBF" w:themeFill="background1" w:themeFillShade="BF"/>
                          </w:tcPr>
                          <w:p w:rsidR="007551CB" w:rsidRPr="00950208" w:rsidRDefault="007551CB" w:rsidP="005F059C">
                            <w:pPr>
                              <w:rPr>
                                <w:b/>
                              </w:rPr>
                            </w:pPr>
                            <w:r w:rsidRPr="00950208">
                              <w:rPr>
                                <w:b/>
                              </w:rPr>
                              <w:t xml:space="preserve">Treatment </w:t>
                            </w:r>
                          </w:p>
                        </w:tc>
                      </w:tr>
                      <w:tr w:rsidR="007551CB" w:rsidTr="00214B78">
                        <w:trPr>
                          <w:trHeight w:val="2645"/>
                          <w:jc w:val="center"/>
                        </w:trPr>
                        <w:tc>
                          <w:tcPr>
                            <w:tcW w:w="6888" w:type="dxa"/>
                          </w:tcPr>
                          <w:p w:rsidR="007551CB" w:rsidRPr="00820BC2" w:rsidRDefault="007551CB" w:rsidP="005F059C">
                            <w:pPr>
                              <w:rPr>
                                <w:sz w:val="21"/>
                                <w:szCs w:val="21"/>
                              </w:rPr>
                            </w:pPr>
                            <w:r w:rsidRPr="00820BC2">
                              <w:rPr>
                                <w:sz w:val="21"/>
                                <w:szCs w:val="21"/>
                              </w:rPr>
                              <w:t xml:space="preserve">When pulpotomy, pulpectomy, nonsurgical root canal treatment, incision for drainage of abscess (Definitive, Conservative Dental Treatment or DCDT) or extraction are an immediate option (same day), antibiotics are </w:t>
                            </w:r>
                            <w:r>
                              <w:rPr>
                                <w:b/>
                                <w:sz w:val="21"/>
                                <w:szCs w:val="21"/>
                                <w:u w:val="single"/>
                              </w:rPr>
                              <w:t>not indicated</w:t>
                            </w:r>
                            <w:r w:rsidRPr="00820BC2">
                              <w:rPr>
                                <w:sz w:val="21"/>
                                <w:szCs w:val="21"/>
                              </w:rPr>
                              <w:t xml:space="preserve"> </w:t>
                            </w:r>
                            <w:r>
                              <w:rPr>
                                <w:sz w:val="21"/>
                                <w:szCs w:val="21"/>
                              </w:rPr>
                              <w:t xml:space="preserve">as </w:t>
                            </w:r>
                            <w:r w:rsidRPr="00820BC2">
                              <w:rPr>
                                <w:sz w:val="21"/>
                                <w:szCs w:val="21"/>
                              </w:rPr>
                              <w:t>adjunct to care in most</w:t>
                            </w:r>
                            <w:r>
                              <w:rPr>
                                <w:sz w:val="21"/>
                                <w:szCs w:val="21"/>
                              </w:rPr>
                              <w:t>ly all</w:t>
                            </w:r>
                            <w:r w:rsidRPr="00820BC2">
                              <w:rPr>
                                <w:sz w:val="21"/>
                                <w:szCs w:val="21"/>
                              </w:rPr>
                              <w:t xml:space="preserve"> cases.  </w:t>
                            </w:r>
                          </w:p>
                          <w:p w:rsidR="007551CB" w:rsidRPr="00820BC2" w:rsidRDefault="007551CB" w:rsidP="00587856">
                            <w:pPr>
                              <w:pStyle w:val="ListParagraph"/>
                              <w:numPr>
                                <w:ilvl w:val="0"/>
                                <w:numId w:val="2"/>
                              </w:numPr>
                            </w:pPr>
                            <w:r w:rsidRPr="00820BC2">
                              <w:rPr>
                                <w:b/>
                                <w:sz w:val="21"/>
                                <w:szCs w:val="21"/>
                                <w:u w:val="single"/>
                              </w:rPr>
                              <w:t>Do not</w:t>
                            </w:r>
                            <w:r w:rsidRPr="00820BC2">
                              <w:rPr>
                                <w:sz w:val="21"/>
                                <w:szCs w:val="21"/>
                              </w:rPr>
                              <w:t xml:space="preserve"> prescribe oral systemic antibiotics as adjunct to DCDT or extraction for immunocompetent adults with irreversible pulpitis, pulp necrosis, and symptomatic apical periodontitis or localized acute apical abscess unless they present with extraoral or severe intraoral swelling, and/or exhibit signs of </w:t>
                            </w:r>
                          </w:p>
                          <w:p w:rsidR="007551CB" w:rsidRDefault="007551CB" w:rsidP="005F059C">
                            <w:pPr>
                              <w:pStyle w:val="ListParagraph"/>
                            </w:pPr>
                            <w:proofErr w:type="gramStart"/>
                            <w:r w:rsidRPr="00820BC2">
                              <w:rPr>
                                <w:sz w:val="21"/>
                                <w:szCs w:val="21"/>
                              </w:rPr>
                              <w:t>systemic</w:t>
                            </w:r>
                            <w:proofErr w:type="gramEnd"/>
                            <w:r w:rsidRPr="00820BC2">
                              <w:rPr>
                                <w:sz w:val="21"/>
                                <w:szCs w:val="21"/>
                              </w:rPr>
                              <w:t xml:space="preserve"> illness.</w:t>
                            </w:r>
                            <w:r>
                              <w:t xml:space="preserve"> </w:t>
                            </w:r>
                          </w:p>
                        </w:tc>
                      </w:tr>
                    </w:tbl>
                    <w:p w:rsidR="007551CB" w:rsidRDefault="007551CB" w:rsidP="007551CB"/>
                  </w:txbxContent>
                </v:textbox>
              </v:shape>
            </w:pict>
          </mc:Fallback>
        </mc:AlternateContent>
      </w:r>
    </w:p>
    <w:p w:rsidR="007551CB" w:rsidRDefault="007551CB">
      <w:r>
        <w:br w:type="page"/>
      </w:r>
    </w:p>
    <w:tbl>
      <w:tblPr>
        <w:tblStyle w:val="TableGrid"/>
        <w:tblpPr w:leftFromText="180" w:rightFromText="180" w:vertAnchor="page" w:horzAnchor="page" w:tblpX="928" w:tblpY="1111"/>
        <w:tblW w:w="6408" w:type="dxa"/>
        <w:tblLook w:val="04A0" w:firstRow="1" w:lastRow="0" w:firstColumn="1" w:lastColumn="0" w:noHBand="0" w:noVBand="1"/>
      </w:tblPr>
      <w:tblGrid>
        <w:gridCol w:w="6408"/>
      </w:tblGrid>
      <w:tr w:rsidR="002A6B64" w:rsidRPr="00820BC2" w:rsidTr="002A6B64">
        <w:trPr>
          <w:trHeight w:val="332"/>
        </w:trPr>
        <w:tc>
          <w:tcPr>
            <w:tcW w:w="6408" w:type="dxa"/>
            <w:shd w:val="clear" w:color="auto" w:fill="00B0F0"/>
          </w:tcPr>
          <w:p w:rsidR="002A6B64" w:rsidRPr="00820BC2" w:rsidRDefault="002A6B64" w:rsidP="002A6B64">
            <w:pPr>
              <w:jc w:val="both"/>
              <w:rPr>
                <w:b/>
                <w:color w:val="FFFFFF" w:themeColor="background1"/>
                <w:sz w:val="24"/>
                <w:szCs w:val="24"/>
              </w:rPr>
            </w:pPr>
            <w:r>
              <w:rPr>
                <w:b/>
                <w:color w:val="FFFFFF" w:themeColor="background1"/>
                <w:sz w:val="24"/>
                <w:szCs w:val="24"/>
              </w:rPr>
              <w:lastRenderedPageBreak/>
              <w:t>#1) Acute oral bacterial infection treatment continued:</w:t>
            </w:r>
          </w:p>
        </w:tc>
      </w:tr>
      <w:tr w:rsidR="002A6B64" w:rsidTr="002A6B64">
        <w:trPr>
          <w:trHeight w:val="8108"/>
        </w:trPr>
        <w:tc>
          <w:tcPr>
            <w:tcW w:w="6408" w:type="dxa"/>
          </w:tcPr>
          <w:p w:rsidR="002A6B64" w:rsidRPr="00412E10" w:rsidRDefault="002A6B64" w:rsidP="002A6B64">
            <w:pPr>
              <w:rPr>
                <w:sz w:val="21"/>
                <w:szCs w:val="21"/>
              </w:rPr>
            </w:pPr>
            <w:r w:rsidRPr="00412E10">
              <w:rPr>
                <w:sz w:val="21"/>
                <w:szCs w:val="21"/>
              </w:rPr>
              <w:t>Evidence suggests that nonsteroidal anti-inflammatory drugs such as ibuprofen 400-600mg PO QID with meals and at bedtime plus acetaminophen 1000mg PO QID combination therapy is effective in managing dental pain.</w:t>
            </w:r>
            <w:r w:rsidRPr="00412E10">
              <w:rPr>
                <w:sz w:val="21"/>
                <w:szCs w:val="21"/>
                <w:vertAlign w:val="superscript"/>
              </w:rPr>
              <w:t>3</w:t>
            </w:r>
            <w:r>
              <w:rPr>
                <w:sz w:val="21"/>
                <w:szCs w:val="21"/>
                <w:vertAlign w:val="superscript"/>
              </w:rPr>
              <w:t>, 7</w:t>
            </w:r>
            <w:r w:rsidRPr="00412E10">
              <w:rPr>
                <w:sz w:val="21"/>
                <w:szCs w:val="21"/>
              </w:rPr>
              <w:t xml:space="preserve">  </w:t>
            </w:r>
          </w:p>
          <w:p w:rsidR="002A6B64" w:rsidRPr="00412E10" w:rsidRDefault="002A6B64" w:rsidP="002A6B64">
            <w:pPr>
              <w:rPr>
                <w:sz w:val="21"/>
                <w:szCs w:val="21"/>
              </w:rPr>
            </w:pPr>
          </w:p>
          <w:p w:rsidR="002A6B64" w:rsidRPr="00412E10" w:rsidRDefault="002A6B64" w:rsidP="002A6B64">
            <w:pPr>
              <w:rPr>
                <w:sz w:val="21"/>
                <w:szCs w:val="21"/>
              </w:rPr>
            </w:pPr>
            <w:r w:rsidRPr="00412E10">
              <w:rPr>
                <w:sz w:val="21"/>
                <w:szCs w:val="21"/>
              </w:rPr>
              <w:t xml:space="preserve">The types of bacterial organisms associated with oral infections </w:t>
            </w:r>
            <w:r>
              <w:rPr>
                <w:sz w:val="21"/>
                <w:szCs w:val="21"/>
              </w:rPr>
              <w:t xml:space="preserve">are relatively limited, and the </w:t>
            </w:r>
            <w:proofErr w:type="gramStart"/>
            <w:r>
              <w:rPr>
                <w:sz w:val="21"/>
                <w:szCs w:val="21"/>
              </w:rPr>
              <w:t>majority are</w:t>
            </w:r>
            <w:proofErr w:type="gramEnd"/>
            <w:r w:rsidRPr="00412E10">
              <w:rPr>
                <w:sz w:val="21"/>
                <w:szCs w:val="21"/>
              </w:rPr>
              <w:t xml:space="preserve"> sensitive to penicillins.  Based on this, the drugs of choice are:  amoxicillin 500mg PO TID for 3-7 days (or alternatively penicillin V potassium 500mg PO QID for 3-7 days).  Although both amoxicillin and penicillin are first-line treatment, amoxicillin is preferred over penicillin because it is more effective against various gram-negative anaerobes and its lower incidence of gastrointestinal side effects.  </w:t>
            </w:r>
          </w:p>
          <w:p w:rsidR="002A6B64" w:rsidRPr="00412E10" w:rsidRDefault="002A6B64" w:rsidP="002A6B64">
            <w:pPr>
              <w:rPr>
                <w:sz w:val="21"/>
                <w:szCs w:val="21"/>
              </w:rPr>
            </w:pPr>
          </w:p>
          <w:p w:rsidR="002A6B64" w:rsidRPr="00412E10" w:rsidRDefault="002A6B64" w:rsidP="002A6B64">
            <w:pPr>
              <w:rPr>
                <w:sz w:val="21"/>
                <w:szCs w:val="21"/>
              </w:rPr>
            </w:pPr>
            <w:r w:rsidRPr="00412E10">
              <w:rPr>
                <w:sz w:val="21"/>
                <w:szCs w:val="21"/>
              </w:rPr>
              <w:t xml:space="preserve">As an alternative for patients with a history of penicillin allergy, but without a history of anaphylaxis, angioedema, or hives with penicillin, ampicillin, or amoxicillin, prescribe cephalexin 500mg PO QID for 3-7 </w:t>
            </w:r>
            <w:proofErr w:type="gramStart"/>
            <w:r w:rsidRPr="00412E10">
              <w:rPr>
                <w:sz w:val="21"/>
                <w:szCs w:val="21"/>
              </w:rPr>
              <w:t>days.</w:t>
            </w:r>
            <w:r w:rsidRPr="00412E10">
              <w:rPr>
                <w:sz w:val="21"/>
                <w:szCs w:val="21"/>
                <w:vertAlign w:val="superscript"/>
              </w:rPr>
              <w:t>8</w:t>
            </w:r>
            <w:r w:rsidRPr="00412E10">
              <w:rPr>
                <w:sz w:val="21"/>
                <w:szCs w:val="21"/>
              </w:rPr>
              <w:t xml:space="preserve">  Dentists</w:t>
            </w:r>
            <w:proofErr w:type="gramEnd"/>
            <w:r w:rsidRPr="00412E10">
              <w:rPr>
                <w:sz w:val="21"/>
                <w:szCs w:val="21"/>
              </w:rPr>
              <w:t xml:space="preserve"> should have a low threshold to add metronidazole to cephalexin therapy in patients with a delayed response to antibiotics.  For an alternative for patients with a severe reaction to penicillin, ampicillin, or amoxicillin (anaphylaxis, angioedema, or hives) prescribe azithromycin 500mg PO x1, then 250mg for 4 days.  Bacterial resistance rates for azithromycin are higher than for other antibiotics.  Alternative to a beta-lactam or azithromycin is clindamycin 300mg PO QID for 3-7 days.  Clindamycin substantially increases the risk of developing </w:t>
            </w:r>
            <w:r w:rsidRPr="00412E10">
              <w:rPr>
                <w:i/>
                <w:sz w:val="21"/>
                <w:szCs w:val="21"/>
              </w:rPr>
              <w:t>Clostridioides difficile</w:t>
            </w:r>
            <w:r w:rsidRPr="00412E10">
              <w:rPr>
                <w:sz w:val="21"/>
                <w:szCs w:val="21"/>
              </w:rPr>
              <w:t xml:space="preserve"> infection, even after a single dose.</w:t>
            </w:r>
            <w:r w:rsidRPr="00412E10">
              <w:rPr>
                <w:sz w:val="21"/>
                <w:szCs w:val="21"/>
                <w:vertAlign w:val="superscript"/>
              </w:rPr>
              <w:t>9</w:t>
            </w:r>
            <w:r w:rsidRPr="00412E10">
              <w:rPr>
                <w:sz w:val="21"/>
                <w:szCs w:val="21"/>
              </w:rPr>
              <w:t xml:space="preserve"> </w:t>
            </w:r>
          </w:p>
          <w:p w:rsidR="002A6B64" w:rsidRPr="00412E10" w:rsidRDefault="002A6B64" w:rsidP="002A6B64">
            <w:pPr>
              <w:rPr>
                <w:sz w:val="21"/>
                <w:szCs w:val="21"/>
              </w:rPr>
            </w:pPr>
          </w:p>
          <w:p w:rsidR="002A6B64" w:rsidRDefault="002A6B64" w:rsidP="002A6B64">
            <w:r w:rsidRPr="00412E10">
              <w:rPr>
                <w:sz w:val="21"/>
                <w:szCs w:val="21"/>
              </w:rPr>
              <w:t xml:space="preserve">Dentists should reevaluate patients within 3 days (for example, in-person visit or phone call). </w:t>
            </w:r>
            <w:r w:rsidRPr="00412E10">
              <w:rPr>
                <w:b/>
                <w:sz w:val="21"/>
                <w:szCs w:val="21"/>
              </w:rPr>
              <w:t xml:space="preserve">Dentists should instruct patients to discontinue antibiotics 24 after symptoms resolve, irrespective of reevaluation after 3 days.  </w:t>
            </w:r>
            <w:r w:rsidRPr="00412E10">
              <w:rPr>
                <w:sz w:val="21"/>
                <w:szCs w:val="21"/>
              </w:rPr>
              <w:t>In cases that failed to respond to amoxicillin or penicillin, consider broadening antibiotic therapy to either complement first-line treatment with metronidazole 500mg PO TID for 7 days or discontinue first-line treatment and prescribe amoxicillin-clavulanate 500mg/125mg PO TID for 7 days.</w:t>
            </w:r>
            <w:r>
              <w:t xml:space="preserve">  </w:t>
            </w:r>
          </w:p>
        </w:tc>
      </w:tr>
    </w:tbl>
    <w:p w:rsidR="00587856" w:rsidRDefault="00587856" w:rsidP="00587856">
      <w:pPr>
        <w:jc w:val="center"/>
      </w:pPr>
    </w:p>
    <w:p w:rsidR="002A6B64" w:rsidRDefault="002A6B64" w:rsidP="00587856">
      <w:pPr>
        <w:jc w:val="center"/>
      </w:pPr>
    </w:p>
    <w:p w:rsidR="002A6B64" w:rsidRDefault="002A6B64" w:rsidP="00587856">
      <w:pPr>
        <w:jc w:val="center"/>
      </w:pPr>
    </w:p>
    <w:p w:rsidR="002A6B64" w:rsidRDefault="002A6B64" w:rsidP="00587856">
      <w:pPr>
        <w:jc w:val="center"/>
      </w:pPr>
    </w:p>
    <w:p w:rsidR="002A6B64" w:rsidRDefault="002A6B64" w:rsidP="00587856">
      <w:pPr>
        <w:jc w:val="center"/>
      </w:pPr>
    </w:p>
    <w:p w:rsidR="00D5240A" w:rsidRPr="00ED295B" w:rsidRDefault="00D5240A" w:rsidP="00D5240A">
      <w:pPr>
        <w:jc w:val="center"/>
        <w:rPr>
          <w:b/>
          <w:sz w:val="36"/>
          <w:szCs w:val="36"/>
        </w:rPr>
      </w:pPr>
      <w:r>
        <w:rPr>
          <w:b/>
          <w:noProof/>
          <w:sz w:val="36"/>
          <w:szCs w:val="36"/>
        </w:rPr>
        <w:drawing>
          <wp:inline distT="0" distB="0" distL="0" distR="0" wp14:anchorId="0174A795" wp14:editId="734DB0BB">
            <wp:extent cx="1933575" cy="752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png"/>
                    <pic:cNvPicPr/>
                  </pic:nvPicPr>
                  <pic:blipFill>
                    <a:blip r:embed="rId8">
                      <a:extLst>
                        <a:ext uri="{28A0092B-C50C-407E-A947-70E740481C1C}">
                          <a14:useLocalDpi xmlns:a14="http://schemas.microsoft.com/office/drawing/2010/main" val="0"/>
                        </a:ext>
                      </a:extLst>
                    </a:blip>
                    <a:stretch>
                      <a:fillRect/>
                    </a:stretch>
                  </pic:blipFill>
                  <pic:spPr>
                    <a:xfrm>
                      <a:off x="0" y="0"/>
                      <a:ext cx="1933575" cy="752475"/>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3474"/>
      </w:tblGrid>
      <w:tr w:rsidR="00D5240A" w:rsidTr="005F059C">
        <w:trPr>
          <w:jc w:val="center"/>
        </w:trPr>
        <w:tc>
          <w:tcPr>
            <w:tcW w:w="3474" w:type="dxa"/>
            <w:shd w:val="clear" w:color="auto" w:fill="00B0F0"/>
          </w:tcPr>
          <w:p w:rsidR="00D5240A" w:rsidRPr="00F50B0C" w:rsidRDefault="00D5240A" w:rsidP="005F059C">
            <w:pPr>
              <w:rPr>
                <w:b/>
              </w:rPr>
            </w:pPr>
            <w:r w:rsidRPr="00F50B0C">
              <w:rPr>
                <w:b/>
                <w:color w:val="FFFFFF" w:themeColor="background1"/>
              </w:rPr>
              <w:t>Adult pain relief recommendations</w:t>
            </w:r>
          </w:p>
        </w:tc>
      </w:tr>
    </w:tbl>
    <w:p w:rsidR="00D5240A" w:rsidRDefault="00D5240A" w:rsidP="00D5240A"/>
    <w:p w:rsidR="00D5240A" w:rsidRDefault="00D5240A" w:rsidP="00D5240A">
      <w:pPr>
        <w:rPr>
          <w:sz w:val="20"/>
          <w:szCs w:val="20"/>
        </w:rPr>
      </w:pPr>
      <w:r w:rsidRPr="00D5240A">
        <w:rPr>
          <w:b/>
          <w:bCs/>
          <w:sz w:val="20"/>
          <w:szCs w:val="20"/>
        </w:rPr>
        <w:t>Truth</w:t>
      </w:r>
      <w:r w:rsidRPr="00D5240A">
        <w:rPr>
          <w:sz w:val="20"/>
          <w:szCs w:val="20"/>
        </w:rPr>
        <w:t>: Pain relief can be used in conjunction with local tooth care received from the dentist.</w:t>
      </w:r>
      <w:r>
        <w:rPr>
          <w:sz w:val="20"/>
          <w:szCs w:val="20"/>
        </w:rPr>
        <w:t xml:space="preserve">  </w:t>
      </w:r>
      <w:r w:rsidRPr="00D5240A">
        <w:rPr>
          <w:sz w:val="20"/>
          <w:szCs w:val="20"/>
        </w:rPr>
        <w:t xml:space="preserve">Although opioid medications may rarely be indicated for severe, acute pain or breakthrough pain, evidence demonstrates in the vast majority of cases that non-narcotic regimens (over-the-counter acetaminophen and/or ibuprofen) are </w:t>
      </w:r>
      <w:r w:rsidRPr="00D5240A">
        <w:rPr>
          <w:b/>
          <w:i/>
          <w:sz w:val="20"/>
          <w:szCs w:val="20"/>
          <w:u w:val="single"/>
        </w:rPr>
        <w:t>superior</w:t>
      </w:r>
      <w:r w:rsidRPr="00D5240A">
        <w:rPr>
          <w:sz w:val="20"/>
          <w:szCs w:val="20"/>
        </w:rPr>
        <w:t xml:space="preserve"> in relieving dental pain.  Examples of these opioid medications that are less effective for dental pain, with more side effects and the potential for addiction, include:  hydrocodone with acetaminophen (brand name Vicodin® or Norco®) or oxycodone with acetaminophen (brand name Percocet®).</w:t>
      </w:r>
    </w:p>
    <w:p w:rsidR="00D5240A" w:rsidRDefault="00D5240A" w:rsidP="00D5240A">
      <w:pPr>
        <w:rPr>
          <w:sz w:val="20"/>
          <w:szCs w:val="20"/>
        </w:rPr>
      </w:pPr>
      <w:r>
        <w:rPr>
          <w:noProof/>
          <w:sz w:val="20"/>
          <w:szCs w:val="20"/>
        </w:rPr>
        <w:drawing>
          <wp:inline distT="0" distB="0" distL="0" distR="0">
            <wp:extent cx="4617720" cy="10579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17720" cy="1057910"/>
                    </a:xfrm>
                    <a:prstGeom prst="rect">
                      <a:avLst/>
                    </a:prstGeom>
                  </pic:spPr>
                </pic:pic>
              </a:graphicData>
            </a:graphic>
          </wp:inline>
        </w:drawing>
      </w:r>
    </w:p>
    <w:p w:rsidR="00D5240A" w:rsidRDefault="00D5240A" w:rsidP="00D5240A">
      <w:pPr>
        <w:jc w:val="center"/>
        <w:rPr>
          <w:sz w:val="20"/>
          <w:szCs w:val="20"/>
        </w:rPr>
      </w:pPr>
      <w:r>
        <w:rPr>
          <w:noProof/>
          <w:sz w:val="20"/>
          <w:szCs w:val="20"/>
        </w:rPr>
        <w:drawing>
          <wp:inline distT="0" distB="0" distL="0" distR="0">
            <wp:extent cx="2726560" cy="1390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n scale.png"/>
                    <pic:cNvPicPr/>
                  </pic:nvPicPr>
                  <pic:blipFill>
                    <a:blip r:embed="rId10">
                      <a:extLst>
                        <a:ext uri="{28A0092B-C50C-407E-A947-70E740481C1C}">
                          <a14:useLocalDpi xmlns:a14="http://schemas.microsoft.com/office/drawing/2010/main" val="0"/>
                        </a:ext>
                      </a:extLst>
                    </a:blip>
                    <a:stretch>
                      <a:fillRect/>
                    </a:stretch>
                  </pic:blipFill>
                  <pic:spPr>
                    <a:xfrm>
                      <a:off x="0" y="0"/>
                      <a:ext cx="2729503" cy="1392151"/>
                    </a:xfrm>
                    <a:prstGeom prst="rect">
                      <a:avLst/>
                    </a:prstGeom>
                  </pic:spPr>
                </pic:pic>
              </a:graphicData>
            </a:graphic>
          </wp:inline>
        </w:drawing>
      </w:r>
    </w:p>
    <w:p w:rsidR="00D5240A" w:rsidRPr="00D5240A" w:rsidRDefault="00D5240A" w:rsidP="00D5240A">
      <w:pPr>
        <w:rPr>
          <w:sz w:val="20"/>
          <w:szCs w:val="20"/>
        </w:rPr>
      </w:pPr>
      <w:r w:rsidRPr="00D5240A">
        <w:rPr>
          <w:sz w:val="20"/>
          <w:szCs w:val="20"/>
        </w:rPr>
        <w:t xml:space="preserve">*For severe or acute conditions ibuprofen can be prescribed to a maximum of 2.4 grams daily (600mg four times a day).  In some select instances, your dentist may prescribe a maximum of 3.2 grams daily (800mg four times a day).  If you choose to purchase the product over the counter then the maximum dose is 1.2 grams daily (400mg three times a day).  See additional information on the back side </w:t>
      </w:r>
      <w:r w:rsidRPr="00D5240A">
        <w:rPr>
          <w:sz w:val="20"/>
          <w:szCs w:val="20"/>
        </w:rPr>
        <w:sym w:font="Symbol" w:char="F0AE"/>
      </w:r>
    </w:p>
    <w:p w:rsidR="00D5240A" w:rsidRDefault="00D5240A" w:rsidP="00D5240A">
      <w:pPr>
        <w:jc w:val="center"/>
        <w:rPr>
          <w:sz w:val="20"/>
          <w:szCs w:val="20"/>
        </w:rPr>
      </w:pPr>
    </w:p>
    <w:p w:rsidR="00BC4EC4" w:rsidRDefault="00F02857" w:rsidP="00587856">
      <w:pPr>
        <w:jc w:val="center"/>
      </w:pPr>
      <w:r>
        <w:rPr>
          <w:noProof/>
        </w:rPr>
        <w:lastRenderedPageBreak/>
        <mc:AlternateContent>
          <mc:Choice Requires="wps">
            <w:drawing>
              <wp:anchor distT="0" distB="0" distL="114300" distR="114300" simplePos="0" relativeHeight="251667456" behindDoc="0" locked="0" layoutInCell="1" allowOverlap="1" wp14:anchorId="5DB41073" wp14:editId="5FE7FD85">
                <wp:simplePos x="0" y="0"/>
                <wp:positionH relativeFrom="column">
                  <wp:posOffset>51435</wp:posOffset>
                </wp:positionH>
                <wp:positionV relativeFrom="paragraph">
                  <wp:posOffset>1</wp:posOffset>
                </wp:positionV>
                <wp:extent cx="4638675" cy="67532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638675" cy="6753225"/>
                        </a:xfrm>
                        <a:prstGeom prst="rect">
                          <a:avLst/>
                        </a:prstGeom>
                        <a:solidFill>
                          <a:srgbClr val="FFFFFF"/>
                        </a:solidFill>
                        <a:ln w="9525">
                          <a:solidFill>
                            <a:schemeClr val="bg1"/>
                          </a:solidFill>
                          <a:miter lim="800000"/>
                          <a:headEnd/>
                          <a:tailEnd/>
                        </a:ln>
                      </wps:spPr>
                      <wps:txbx>
                        <w:txbxContent>
                          <w:tbl>
                            <w:tblPr>
                              <w:tblStyle w:val="TableGrid"/>
                              <w:tblW w:w="0" w:type="auto"/>
                              <w:jc w:val="center"/>
                              <w:tblInd w:w="288" w:type="dxa"/>
                              <w:tblLook w:val="04A0" w:firstRow="1" w:lastRow="0" w:firstColumn="1" w:lastColumn="0" w:noHBand="0" w:noVBand="1"/>
                            </w:tblPr>
                            <w:tblGrid>
                              <w:gridCol w:w="6534"/>
                            </w:tblGrid>
                            <w:tr w:rsidR="00CC3C52" w:rsidRPr="00784E97" w:rsidTr="00CC3C52">
                              <w:trPr>
                                <w:jc w:val="center"/>
                              </w:trPr>
                              <w:tc>
                                <w:tcPr>
                                  <w:tcW w:w="6534" w:type="dxa"/>
                                  <w:shd w:val="clear" w:color="auto" w:fill="00B0F0"/>
                                </w:tcPr>
                                <w:p w:rsidR="00CC3C52" w:rsidRPr="00784E97" w:rsidRDefault="00CC3C52" w:rsidP="00CC3C52">
                                  <w:pPr>
                                    <w:rPr>
                                      <w:b/>
                                      <w:color w:val="FFFFFF" w:themeColor="background1"/>
                                      <w:sz w:val="24"/>
                                      <w:szCs w:val="24"/>
                                      <w:vertAlign w:val="superscript"/>
                                    </w:rPr>
                                  </w:pPr>
                                  <w:r>
                                    <w:rPr>
                                      <w:b/>
                                      <w:color w:val="FFFFFF" w:themeColor="background1"/>
                                      <w:sz w:val="24"/>
                                      <w:szCs w:val="24"/>
                                    </w:rPr>
                                    <w:t xml:space="preserve">#2) </w:t>
                                  </w:r>
                                  <w:r w:rsidRPr="00EB4498">
                                    <w:rPr>
                                      <w:b/>
                                      <w:color w:val="FFFFFF" w:themeColor="background1"/>
                                      <w:sz w:val="24"/>
                                      <w:szCs w:val="24"/>
                                    </w:rPr>
                                    <w:t>Acute Pericoronitis</w:t>
                                  </w:r>
                                  <w:r>
                                    <w:rPr>
                                      <w:b/>
                                      <w:color w:val="FFFFFF" w:themeColor="background1"/>
                                      <w:sz w:val="24"/>
                                      <w:szCs w:val="24"/>
                                      <w:vertAlign w:val="superscript"/>
                                    </w:rPr>
                                    <w:t>10-11</w:t>
                                  </w:r>
                                </w:p>
                              </w:tc>
                            </w:tr>
                            <w:tr w:rsidR="00CC3C52" w:rsidRPr="00C160B5" w:rsidTr="00CC3C52">
                              <w:trPr>
                                <w:jc w:val="center"/>
                              </w:trPr>
                              <w:tc>
                                <w:tcPr>
                                  <w:tcW w:w="6534" w:type="dxa"/>
                                  <w:shd w:val="clear" w:color="auto" w:fill="BFBFBF" w:themeFill="background1" w:themeFillShade="BF"/>
                                </w:tcPr>
                                <w:p w:rsidR="00CC3C52" w:rsidRPr="00C160B5" w:rsidRDefault="00CC3C52" w:rsidP="00CC3C52">
                                  <w:pPr>
                                    <w:rPr>
                                      <w:b/>
                                    </w:rPr>
                                  </w:pPr>
                                  <w:r w:rsidRPr="00C160B5">
                                    <w:rPr>
                                      <w:b/>
                                    </w:rPr>
                                    <w:t>Management</w:t>
                                  </w:r>
                                </w:p>
                              </w:tc>
                            </w:tr>
                            <w:tr w:rsidR="00CC3C52" w:rsidRPr="00883C82" w:rsidTr="00CC3C52">
                              <w:trPr>
                                <w:jc w:val="center"/>
                              </w:trPr>
                              <w:tc>
                                <w:tcPr>
                                  <w:tcW w:w="6534" w:type="dxa"/>
                                </w:tcPr>
                                <w:p w:rsidR="00CC3C52" w:rsidRPr="00883C82" w:rsidRDefault="00CC3C52" w:rsidP="00CC3C52">
                                  <w:pPr>
                                    <w:rPr>
                                      <w:sz w:val="21"/>
                                      <w:szCs w:val="21"/>
                                    </w:rPr>
                                  </w:pPr>
                                  <w:r w:rsidRPr="00883C82">
                                    <w:rPr>
                                      <w:sz w:val="21"/>
                                      <w:szCs w:val="21"/>
                                    </w:rPr>
                                    <w:t>Acute Pericoronitis is treated with local measures unless there is facial swelling, trismus or systemic involvement</w:t>
                                  </w:r>
                                  <w:r>
                                    <w:rPr>
                                      <w:sz w:val="21"/>
                                      <w:szCs w:val="21"/>
                                    </w:rPr>
                                    <w:t xml:space="preserve"> (such as fever and malaise)</w:t>
                                  </w:r>
                                  <w:r w:rsidRPr="00883C82">
                                    <w:rPr>
                                      <w:sz w:val="21"/>
                                      <w:szCs w:val="21"/>
                                    </w:rPr>
                                    <w:t>.</w:t>
                                  </w:r>
                                </w:p>
                              </w:tc>
                            </w:tr>
                            <w:tr w:rsidR="00CC3C52" w:rsidRPr="00C160B5" w:rsidTr="00CC3C52">
                              <w:trPr>
                                <w:jc w:val="center"/>
                              </w:trPr>
                              <w:tc>
                                <w:tcPr>
                                  <w:tcW w:w="6534" w:type="dxa"/>
                                  <w:shd w:val="clear" w:color="auto" w:fill="BFBFBF" w:themeFill="background1" w:themeFillShade="BF"/>
                                </w:tcPr>
                                <w:p w:rsidR="00CC3C52" w:rsidRPr="00C160B5" w:rsidRDefault="00CC3C52" w:rsidP="00CC3C52">
                                  <w:pPr>
                                    <w:rPr>
                                      <w:b/>
                                    </w:rPr>
                                  </w:pPr>
                                  <w:r w:rsidRPr="00C160B5">
                                    <w:rPr>
                                      <w:b/>
                                    </w:rPr>
                                    <w:t>Treatment</w:t>
                                  </w:r>
                                </w:p>
                              </w:tc>
                            </w:tr>
                            <w:tr w:rsidR="00CC3C52" w:rsidRPr="00AF5B6F" w:rsidTr="00CC3C52">
                              <w:trPr>
                                <w:jc w:val="center"/>
                              </w:trPr>
                              <w:tc>
                                <w:tcPr>
                                  <w:tcW w:w="6534" w:type="dxa"/>
                                </w:tcPr>
                                <w:p w:rsidR="00CC3C52" w:rsidRDefault="00CC3C52" w:rsidP="00CC3C52">
                                  <w:pPr>
                                    <w:rPr>
                                      <w:sz w:val="21"/>
                                      <w:szCs w:val="21"/>
                                    </w:rPr>
                                  </w:pPr>
                                  <w:r w:rsidRPr="007E439F">
                                    <w:rPr>
                                      <w:sz w:val="21"/>
                                      <w:szCs w:val="21"/>
                                    </w:rPr>
                                    <w:t>Extraction is the treatment of choice if tooth is recommended for removal. If extraction is not performed, treatment for localized tissue swelling and soreness is irrigation in the office and at home.  Adjustment of opposing dentition may be considered if traumatic.</w:t>
                                  </w:r>
                                </w:p>
                                <w:p w:rsidR="00CC3C52" w:rsidRDefault="00CC3C52" w:rsidP="00CC3C52">
                                  <w:pPr>
                                    <w:rPr>
                                      <w:sz w:val="21"/>
                                      <w:szCs w:val="21"/>
                                    </w:rPr>
                                  </w:pPr>
                                  <w:r w:rsidRPr="007E439F">
                                    <w:rPr>
                                      <w:sz w:val="21"/>
                                      <w:szCs w:val="21"/>
                                    </w:rPr>
                                    <w:t>For patients with</w:t>
                                  </w:r>
                                  <w:r>
                                    <w:rPr>
                                      <w:sz w:val="21"/>
                                      <w:szCs w:val="21"/>
                                    </w:rPr>
                                    <w:t xml:space="preserve"> localized tissue swelling and soreness,</w:t>
                                  </w:r>
                                  <w:r w:rsidRPr="007E439F">
                                    <w:rPr>
                                      <w:sz w:val="21"/>
                                      <w:szCs w:val="21"/>
                                    </w:rPr>
                                    <w:t xml:space="preserve"> fever</w:t>
                                  </w:r>
                                  <w:r>
                                    <w:rPr>
                                      <w:sz w:val="21"/>
                                      <w:szCs w:val="21"/>
                                    </w:rPr>
                                    <w:t xml:space="preserve"> &lt; 101</w:t>
                                  </w:r>
                                  <w:r>
                                    <w:rPr>
                                      <w:sz w:val="21"/>
                                      <w:szCs w:val="21"/>
                                      <w:vertAlign w:val="superscript"/>
                                    </w:rPr>
                                    <w:sym w:font="Symbol" w:char="F0B0"/>
                                  </w:r>
                                  <w:r>
                                    <w:rPr>
                                      <w:sz w:val="21"/>
                                      <w:szCs w:val="21"/>
                                      <w:vertAlign w:val="superscript"/>
                                    </w:rPr>
                                    <w:t>F</w:t>
                                  </w:r>
                                  <w:r>
                                    <w:rPr>
                                      <w:sz w:val="21"/>
                                      <w:szCs w:val="21"/>
                                    </w:rPr>
                                    <w:t xml:space="preserve">, mild </w:t>
                                  </w:r>
                                  <w:r w:rsidRPr="007E439F">
                                    <w:rPr>
                                      <w:sz w:val="21"/>
                                      <w:szCs w:val="21"/>
                                    </w:rPr>
                                    <w:t>trismus and/or facial swelling, antibiotics are recommended.</w:t>
                                  </w:r>
                                </w:p>
                                <w:p w:rsidR="00CC3C52" w:rsidRDefault="00CC3C52" w:rsidP="00CC3C52">
                                  <w:pPr>
                                    <w:rPr>
                                      <w:sz w:val="21"/>
                                      <w:szCs w:val="21"/>
                                    </w:rPr>
                                  </w:pPr>
                                  <w:r w:rsidRPr="007E439F">
                                    <w:rPr>
                                      <w:sz w:val="21"/>
                                      <w:szCs w:val="21"/>
                                    </w:rPr>
                                    <w:t xml:space="preserve">The recommended </w:t>
                                  </w:r>
                                  <w:r>
                                    <w:rPr>
                                      <w:sz w:val="21"/>
                                      <w:szCs w:val="21"/>
                                    </w:rPr>
                                    <w:t xml:space="preserve">systemic antibiotic </w:t>
                                  </w:r>
                                  <w:r w:rsidRPr="007E439F">
                                    <w:rPr>
                                      <w:sz w:val="21"/>
                                      <w:szCs w:val="21"/>
                                    </w:rPr>
                                    <w:t>regimen is</w:t>
                                  </w:r>
                                  <w:r>
                                    <w:rPr>
                                      <w:sz w:val="21"/>
                                      <w:szCs w:val="21"/>
                                    </w:rPr>
                                    <w:t>:</w:t>
                                  </w:r>
                                </w:p>
                                <w:p w:rsidR="00CC3C52" w:rsidRDefault="00CC3C52" w:rsidP="00CC3C52">
                                  <w:pPr>
                                    <w:pStyle w:val="ListParagraph"/>
                                    <w:numPr>
                                      <w:ilvl w:val="0"/>
                                      <w:numId w:val="2"/>
                                    </w:numPr>
                                    <w:rPr>
                                      <w:sz w:val="21"/>
                                      <w:szCs w:val="21"/>
                                    </w:rPr>
                                  </w:pPr>
                                  <w:r>
                                    <w:rPr>
                                      <w:sz w:val="21"/>
                                      <w:szCs w:val="21"/>
                                    </w:rPr>
                                    <w:t>P</w:t>
                                  </w:r>
                                  <w:r w:rsidRPr="00955D44">
                                    <w:rPr>
                                      <w:sz w:val="21"/>
                                      <w:szCs w:val="21"/>
                                    </w:rPr>
                                    <w:t>enicillin V K 500 mg PO QID (consider a l</w:t>
                                  </w:r>
                                  <w:r>
                                    <w:rPr>
                                      <w:sz w:val="21"/>
                                      <w:szCs w:val="21"/>
                                    </w:rPr>
                                    <w:t>oading dose of 1,000 mg). Duration is 3-7 days.</w:t>
                                  </w:r>
                                </w:p>
                                <w:p w:rsidR="00CC3C52" w:rsidRDefault="00CC3C52" w:rsidP="00CC3C52">
                                  <w:pPr>
                                    <w:pStyle w:val="ListParagraph"/>
                                    <w:numPr>
                                      <w:ilvl w:val="0"/>
                                      <w:numId w:val="2"/>
                                    </w:numPr>
                                    <w:rPr>
                                      <w:sz w:val="21"/>
                                      <w:szCs w:val="21"/>
                                    </w:rPr>
                                  </w:pPr>
                                  <w:r>
                                    <w:rPr>
                                      <w:sz w:val="21"/>
                                      <w:szCs w:val="21"/>
                                    </w:rPr>
                                    <w:t>A</w:t>
                                  </w:r>
                                  <w:r w:rsidRPr="00955D44">
                                    <w:rPr>
                                      <w:sz w:val="21"/>
                                      <w:szCs w:val="21"/>
                                    </w:rPr>
                                    <w:t>lternativ</w:t>
                                  </w:r>
                                  <w:r>
                                    <w:rPr>
                                      <w:sz w:val="21"/>
                                      <w:szCs w:val="21"/>
                                    </w:rPr>
                                    <w:t>e is clindamycin 300 mg PO TID</w:t>
                                  </w:r>
                                  <w:r w:rsidRPr="00955D44">
                                    <w:rPr>
                                      <w:sz w:val="21"/>
                                      <w:szCs w:val="21"/>
                                    </w:rPr>
                                    <w:t xml:space="preserve"> (consider a loading dose of 600 mg). Duration is 3-7 days.</w:t>
                                  </w:r>
                                </w:p>
                                <w:p w:rsidR="00CC3C52" w:rsidRPr="00AF5B6F" w:rsidRDefault="00CC3C52" w:rsidP="00CC3C52">
                                  <w:pPr>
                                    <w:rPr>
                                      <w:sz w:val="21"/>
                                      <w:szCs w:val="21"/>
                                    </w:rPr>
                                  </w:pPr>
                                  <w:r>
                                    <w:rPr>
                                      <w:sz w:val="21"/>
                                      <w:szCs w:val="21"/>
                                    </w:rPr>
                                    <w:t>For patients with symptoms consistent with major systemic involvement (localized tissue swelling and soreness, fever &gt;101</w:t>
                                  </w:r>
                                  <w:r>
                                    <w:rPr>
                                      <w:sz w:val="21"/>
                                      <w:szCs w:val="21"/>
                                      <w:vertAlign w:val="superscript"/>
                                    </w:rPr>
                                    <w:sym w:font="Symbol" w:char="F0B0"/>
                                  </w:r>
                                  <w:r>
                                    <w:rPr>
                                      <w:sz w:val="21"/>
                                      <w:szCs w:val="21"/>
                                      <w:vertAlign w:val="superscript"/>
                                    </w:rPr>
                                    <w:t>F</w:t>
                                  </w:r>
                                  <w:r>
                                    <w:rPr>
                                      <w:sz w:val="21"/>
                                      <w:szCs w:val="21"/>
                                    </w:rPr>
                                    <w:t>, severe trismus, facial swelling and/or malaise), immediate referral to an oral and maxillofacial surgeon is warranted.</w:t>
                                  </w:r>
                                </w:p>
                              </w:tc>
                            </w:tr>
                            <w:tr w:rsidR="00CC3C52" w:rsidRPr="000C30E1" w:rsidTr="00CC3C52">
                              <w:trPr>
                                <w:jc w:val="center"/>
                              </w:trPr>
                              <w:tc>
                                <w:tcPr>
                                  <w:tcW w:w="6534" w:type="dxa"/>
                                  <w:shd w:val="clear" w:color="auto" w:fill="00B0F0"/>
                                </w:tcPr>
                                <w:p w:rsidR="00CC3C52" w:rsidRPr="000C30E1" w:rsidRDefault="00CC3C52" w:rsidP="00CC3C52">
                                  <w:pPr>
                                    <w:rPr>
                                      <w:color w:val="FFFFFF" w:themeColor="background1"/>
                                      <w:sz w:val="24"/>
                                      <w:szCs w:val="24"/>
                                      <w:vertAlign w:val="superscript"/>
                                    </w:rPr>
                                  </w:pPr>
                                  <w:r>
                                    <w:rPr>
                                      <w:b/>
                                      <w:color w:val="FFFFFF" w:themeColor="background1"/>
                                      <w:sz w:val="24"/>
                                      <w:szCs w:val="24"/>
                                    </w:rPr>
                                    <w:t xml:space="preserve">#3) </w:t>
                                  </w:r>
                                  <w:r w:rsidRPr="000C30E1">
                                    <w:rPr>
                                      <w:b/>
                                      <w:color w:val="FFFFFF" w:themeColor="background1"/>
                                      <w:sz w:val="24"/>
                                      <w:szCs w:val="24"/>
                                    </w:rPr>
                                    <w:t>Sinus infection that presents with dental symptoms:</w:t>
                                  </w:r>
                                  <w:r w:rsidRPr="000C30E1">
                                    <w:rPr>
                                      <w:color w:val="FFFFFF" w:themeColor="background1"/>
                                      <w:sz w:val="24"/>
                                      <w:szCs w:val="24"/>
                                      <w:vertAlign w:val="superscript"/>
                                    </w:rPr>
                                    <w:t>5</w:t>
                                  </w:r>
                                </w:p>
                              </w:tc>
                            </w:tr>
                            <w:tr w:rsidR="00CC3C52" w:rsidRPr="000C30E1" w:rsidTr="00CC3C52">
                              <w:trPr>
                                <w:jc w:val="center"/>
                              </w:trPr>
                              <w:tc>
                                <w:tcPr>
                                  <w:tcW w:w="6534" w:type="dxa"/>
                                  <w:shd w:val="clear" w:color="auto" w:fill="BFBFBF" w:themeFill="background1" w:themeFillShade="BF"/>
                                </w:tcPr>
                                <w:p w:rsidR="00CC3C52" w:rsidRPr="000C30E1" w:rsidRDefault="00CC3C52" w:rsidP="00CC3C52">
                                  <w:pPr>
                                    <w:rPr>
                                      <w:b/>
                                    </w:rPr>
                                  </w:pPr>
                                  <w:r w:rsidRPr="000C30E1">
                                    <w:rPr>
                                      <w:b/>
                                    </w:rPr>
                                    <w:t>Management</w:t>
                                  </w:r>
                                </w:p>
                              </w:tc>
                            </w:tr>
                            <w:tr w:rsidR="00CC3C52" w:rsidRPr="007E439F" w:rsidTr="00CC3C52">
                              <w:trPr>
                                <w:jc w:val="center"/>
                              </w:trPr>
                              <w:tc>
                                <w:tcPr>
                                  <w:tcW w:w="6534" w:type="dxa"/>
                                </w:tcPr>
                                <w:p w:rsidR="00CC3C52" w:rsidRPr="007E439F" w:rsidRDefault="00CC3C52" w:rsidP="00CC3C52">
                                  <w:pPr>
                                    <w:rPr>
                                      <w:sz w:val="21"/>
                                      <w:szCs w:val="21"/>
                                    </w:rPr>
                                  </w:pPr>
                                  <w:r w:rsidRPr="007E439F">
                                    <w:rPr>
                                      <w:sz w:val="21"/>
                                      <w:szCs w:val="21"/>
                                    </w:rPr>
                                    <w:t>After a detailed dental examination and appropriate periapical radiograph(s), if there is no evidence of dental pathology, then it is unlikely the sinus pain is coming from a dental source.</w:t>
                                  </w:r>
                                </w:p>
                              </w:tc>
                            </w:tr>
                            <w:tr w:rsidR="00CC3C52" w:rsidRPr="000C30E1" w:rsidTr="00CC3C52">
                              <w:trPr>
                                <w:jc w:val="center"/>
                              </w:trPr>
                              <w:tc>
                                <w:tcPr>
                                  <w:tcW w:w="6534" w:type="dxa"/>
                                  <w:shd w:val="clear" w:color="auto" w:fill="BFBFBF" w:themeFill="background1" w:themeFillShade="BF"/>
                                </w:tcPr>
                                <w:p w:rsidR="00CC3C52" w:rsidRPr="000C30E1" w:rsidRDefault="00CC3C52" w:rsidP="00CC3C52">
                                  <w:pPr>
                                    <w:rPr>
                                      <w:b/>
                                    </w:rPr>
                                  </w:pPr>
                                  <w:r w:rsidRPr="000C30E1">
                                    <w:rPr>
                                      <w:b/>
                                    </w:rPr>
                                    <w:t>Treatment</w:t>
                                  </w:r>
                                </w:p>
                              </w:tc>
                            </w:tr>
                            <w:tr w:rsidR="00CC3C52" w:rsidRPr="007E439F" w:rsidTr="00CC3C52">
                              <w:trPr>
                                <w:jc w:val="center"/>
                              </w:trPr>
                              <w:tc>
                                <w:tcPr>
                                  <w:tcW w:w="6534" w:type="dxa"/>
                                </w:tcPr>
                                <w:p w:rsidR="00CC3C52" w:rsidRPr="007E439F" w:rsidRDefault="00CC3C52" w:rsidP="00CC3C52">
                                  <w:pPr>
                                    <w:rPr>
                                      <w:sz w:val="21"/>
                                      <w:szCs w:val="21"/>
                                    </w:rPr>
                                  </w:pPr>
                                  <w:r w:rsidRPr="007E439F">
                                    <w:rPr>
                                      <w:sz w:val="21"/>
                                      <w:szCs w:val="21"/>
                                    </w:rPr>
                                    <w:t xml:space="preserve">Treating sinus pain with antibiotics as a means of ruling out a dental etiology is not appropriate.  Sinus infections are </w:t>
                                  </w:r>
                                  <w:r>
                                    <w:rPr>
                                      <w:sz w:val="21"/>
                                      <w:szCs w:val="21"/>
                                    </w:rPr>
                                    <w:t xml:space="preserve">most </w:t>
                                  </w:r>
                                  <w:r w:rsidRPr="007E439F">
                                    <w:rPr>
                                      <w:sz w:val="21"/>
                                      <w:szCs w:val="21"/>
                                    </w:rPr>
                                    <w:t>often viral and will impr</w:t>
                                  </w:r>
                                  <w:r>
                                    <w:rPr>
                                      <w:sz w:val="21"/>
                                      <w:szCs w:val="21"/>
                                    </w:rPr>
                                    <w:t xml:space="preserve">ove without use of antibiotics.  </w:t>
                                  </w:r>
                                  <w:r w:rsidRPr="007E439F">
                                    <w:rPr>
                                      <w:sz w:val="21"/>
                                      <w:szCs w:val="21"/>
                                    </w:rPr>
                                    <w:t>The patient should be referred to the</w:t>
                                  </w:r>
                                  <w:r>
                                    <w:rPr>
                                      <w:sz w:val="21"/>
                                      <w:szCs w:val="21"/>
                                    </w:rPr>
                                    <w:t>ir</w:t>
                                  </w:r>
                                  <w:r w:rsidRPr="007E439F">
                                    <w:rPr>
                                      <w:sz w:val="21"/>
                                      <w:szCs w:val="21"/>
                                    </w:rPr>
                                    <w:t xml:space="preserve"> </w:t>
                                  </w:r>
                                  <w:r>
                                    <w:rPr>
                                      <w:sz w:val="21"/>
                                      <w:szCs w:val="21"/>
                                    </w:rPr>
                                    <w:t>Primary Care Provider for further management.</w:t>
                                  </w:r>
                                </w:p>
                              </w:tc>
                            </w:tr>
                            <w:tr w:rsidR="00CC3C52" w:rsidRPr="00B1074F" w:rsidTr="00CC3C52">
                              <w:trPr>
                                <w:jc w:val="center"/>
                              </w:trPr>
                              <w:tc>
                                <w:tcPr>
                                  <w:tcW w:w="6534" w:type="dxa"/>
                                  <w:shd w:val="clear" w:color="auto" w:fill="00B0F0"/>
                                </w:tcPr>
                                <w:p w:rsidR="00CC3C52" w:rsidRPr="00B1074F" w:rsidRDefault="00CC3C52" w:rsidP="00CC3C52">
                                  <w:pPr>
                                    <w:rPr>
                                      <w:b/>
                                      <w:color w:val="FFFFFF" w:themeColor="background1"/>
                                      <w:sz w:val="24"/>
                                      <w:szCs w:val="24"/>
                                      <w:vertAlign w:val="superscript"/>
                                    </w:rPr>
                                  </w:pPr>
                                  <w:r>
                                    <w:rPr>
                                      <w:b/>
                                      <w:color w:val="FFFFFF" w:themeColor="background1"/>
                                      <w:sz w:val="24"/>
                                      <w:szCs w:val="24"/>
                                    </w:rPr>
                                    <w:t xml:space="preserve">#4) </w:t>
                                  </w:r>
                                  <w:r w:rsidRPr="00B1074F">
                                    <w:rPr>
                                      <w:b/>
                                      <w:color w:val="FFFFFF" w:themeColor="background1"/>
                                      <w:sz w:val="24"/>
                                      <w:szCs w:val="24"/>
                                    </w:rPr>
                                    <w:t>Chronic periodontal disease:</w:t>
                                  </w:r>
                                  <w:r w:rsidRPr="00B1074F">
                                    <w:rPr>
                                      <w:b/>
                                      <w:color w:val="FFFFFF" w:themeColor="background1"/>
                                      <w:sz w:val="24"/>
                                      <w:szCs w:val="24"/>
                                      <w:vertAlign w:val="superscript"/>
                                    </w:rPr>
                                    <w:t>5</w:t>
                                  </w:r>
                                </w:p>
                              </w:tc>
                            </w:tr>
                            <w:tr w:rsidR="00CC3C52" w:rsidRPr="00B1074F" w:rsidTr="00CC3C52">
                              <w:trPr>
                                <w:jc w:val="center"/>
                              </w:trPr>
                              <w:tc>
                                <w:tcPr>
                                  <w:tcW w:w="6534" w:type="dxa"/>
                                  <w:shd w:val="clear" w:color="auto" w:fill="BFBFBF" w:themeFill="background1" w:themeFillShade="BF"/>
                                </w:tcPr>
                                <w:p w:rsidR="00CC3C52" w:rsidRPr="00B1074F" w:rsidRDefault="00CC3C52" w:rsidP="00CC3C52">
                                  <w:pPr>
                                    <w:rPr>
                                      <w:b/>
                                      <w:sz w:val="21"/>
                                      <w:szCs w:val="21"/>
                                    </w:rPr>
                                  </w:pPr>
                                  <w:r>
                                    <w:rPr>
                                      <w:b/>
                                      <w:sz w:val="21"/>
                                      <w:szCs w:val="21"/>
                                    </w:rPr>
                                    <w:t>Management/Treatment</w:t>
                                  </w:r>
                                </w:p>
                              </w:tc>
                            </w:tr>
                            <w:tr w:rsidR="00CC3C52" w:rsidRPr="00B1074F" w:rsidTr="00CC3C52">
                              <w:trPr>
                                <w:jc w:val="center"/>
                              </w:trPr>
                              <w:tc>
                                <w:tcPr>
                                  <w:tcW w:w="6534" w:type="dxa"/>
                                  <w:shd w:val="clear" w:color="auto" w:fill="auto"/>
                                </w:tcPr>
                                <w:p w:rsidR="00CC3C52" w:rsidRPr="00B1074F" w:rsidRDefault="00CC3C52" w:rsidP="00CC3C52">
                                  <w:pPr>
                                    <w:rPr>
                                      <w:sz w:val="21"/>
                                      <w:szCs w:val="21"/>
                                    </w:rPr>
                                  </w:pPr>
                                  <w:r>
                                    <w:rPr>
                                      <w:sz w:val="21"/>
                                      <w:szCs w:val="21"/>
                                    </w:rPr>
                                    <w:t>Chronic periodontal disease is not amendable to antibiotic management.  Management includes mechanical cleaning, and maintaining a long-term healthy oral environment is essential.</w:t>
                                  </w:r>
                                </w:p>
                              </w:tc>
                            </w:tr>
                          </w:tbl>
                          <w:p w:rsidR="00CC3C52" w:rsidRDefault="00CC3C52" w:rsidP="00CC3C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5pt;margin-top:0;width:365.25pt;height:531.7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" strokecolor="white [3212]">
                <v:textbox>
                  <w:txbxContent>
                    <w:tbl>
                      <w:tblPr>
                        <w:tblStyle w:val="TableGrid"/>
                        <w:tblW w:w="0" w:type="auto"/>
                        <w:jc w:val="center"/>
                        <w:tblInd w:w="288" w:type="dxa"/>
                        <w:tblLook w:val="04A0" w:firstRow="1" w:lastRow="0" w:firstColumn="1" w:lastColumn="0" w:noHBand="0" w:noVBand="1"/>
                      </w:tblPr>
                      <w:tblGrid>
                        <w:gridCol w:w="6534"/>
                      </w:tblGrid>
                      <w:tr w:rsidR="00CC3C52" w:rsidRPr="00784E97" w:rsidTr="00CC3C52">
                        <w:trPr>
                          <w:jc w:val="center"/>
                        </w:trPr>
                        <w:tc>
                          <w:tcPr>
                            <w:tcW w:w="6534" w:type="dxa"/>
                            <w:shd w:val="clear" w:color="auto" w:fill="00B0F0"/>
                          </w:tcPr>
                          <w:p w:rsidR="00CC3C52" w:rsidRPr="00784E97" w:rsidRDefault="00CC3C52" w:rsidP="00CC3C52">
                            <w:pPr>
                              <w:rPr>
                                <w:b/>
                                <w:color w:val="FFFFFF" w:themeColor="background1"/>
                                <w:sz w:val="24"/>
                                <w:szCs w:val="24"/>
                                <w:vertAlign w:val="superscript"/>
                              </w:rPr>
                            </w:pPr>
                            <w:r>
                              <w:rPr>
                                <w:b/>
                                <w:color w:val="FFFFFF" w:themeColor="background1"/>
                                <w:sz w:val="24"/>
                                <w:szCs w:val="24"/>
                              </w:rPr>
                              <w:t xml:space="preserve">#2) </w:t>
                            </w:r>
                            <w:r w:rsidRPr="00EB4498">
                              <w:rPr>
                                <w:b/>
                                <w:color w:val="FFFFFF" w:themeColor="background1"/>
                                <w:sz w:val="24"/>
                                <w:szCs w:val="24"/>
                              </w:rPr>
                              <w:t>Acute Pericoronitis</w:t>
                            </w:r>
                            <w:r>
                              <w:rPr>
                                <w:b/>
                                <w:color w:val="FFFFFF" w:themeColor="background1"/>
                                <w:sz w:val="24"/>
                                <w:szCs w:val="24"/>
                                <w:vertAlign w:val="superscript"/>
                              </w:rPr>
                              <w:t>10-11</w:t>
                            </w:r>
                          </w:p>
                        </w:tc>
                      </w:tr>
                      <w:tr w:rsidR="00CC3C52" w:rsidRPr="00C160B5" w:rsidTr="00CC3C52">
                        <w:trPr>
                          <w:jc w:val="center"/>
                        </w:trPr>
                        <w:tc>
                          <w:tcPr>
                            <w:tcW w:w="6534" w:type="dxa"/>
                            <w:shd w:val="clear" w:color="auto" w:fill="BFBFBF" w:themeFill="background1" w:themeFillShade="BF"/>
                          </w:tcPr>
                          <w:p w:rsidR="00CC3C52" w:rsidRPr="00C160B5" w:rsidRDefault="00CC3C52" w:rsidP="00CC3C52">
                            <w:pPr>
                              <w:rPr>
                                <w:b/>
                              </w:rPr>
                            </w:pPr>
                            <w:r w:rsidRPr="00C160B5">
                              <w:rPr>
                                <w:b/>
                              </w:rPr>
                              <w:t>Management</w:t>
                            </w:r>
                          </w:p>
                        </w:tc>
                      </w:tr>
                      <w:tr w:rsidR="00CC3C52" w:rsidRPr="00883C82" w:rsidTr="00CC3C52">
                        <w:trPr>
                          <w:jc w:val="center"/>
                        </w:trPr>
                        <w:tc>
                          <w:tcPr>
                            <w:tcW w:w="6534" w:type="dxa"/>
                          </w:tcPr>
                          <w:p w:rsidR="00CC3C52" w:rsidRPr="00883C82" w:rsidRDefault="00CC3C52" w:rsidP="00CC3C52">
                            <w:pPr>
                              <w:rPr>
                                <w:sz w:val="21"/>
                                <w:szCs w:val="21"/>
                              </w:rPr>
                            </w:pPr>
                            <w:r w:rsidRPr="00883C82">
                              <w:rPr>
                                <w:sz w:val="21"/>
                                <w:szCs w:val="21"/>
                              </w:rPr>
                              <w:t>Acute Pericoronitis is treated with local measures unless there is facial swelling, trismus or systemic involvement</w:t>
                            </w:r>
                            <w:r>
                              <w:rPr>
                                <w:sz w:val="21"/>
                                <w:szCs w:val="21"/>
                              </w:rPr>
                              <w:t xml:space="preserve"> (such as fever and malaise)</w:t>
                            </w:r>
                            <w:r w:rsidRPr="00883C82">
                              <w:rPr>
                                <w:sz w:val="21"/>
                                <w:szCs w:val="21"/>
                              </w:rPr>
                              <w:t>.</w:t>
                            </w:r>
                          </w:p>
                        </w:tc>
                      </w:tr>
                      <w:tr w:rsidR="00CC3C52" w:rsidRPr="00C160B5" w:rsidTr="00CC3C52">
                        <w:trPr>
                          <w:jc w:val="center"/>
                        </w:trPr>
                        <w:tc>
                          <w:tcPr>
                            <w:tcW w:w="6534" w:type="dxa"/>
                            <w:shd w:val="clear" w:color="auto" w:fill="BFBFBF" w:themeFill="background1" w:themeFillShade="BF"/>
                          </w:tcPr>
                          <w:p w:rsidR="00CC3C52" w:rsidRPr="00C160B5" w:rsidRDefault="00CC3C52" w:rsidP="00CC3C52">
                            <w:pPr>
                              <w:rPr>
                                <w:b/>
                              </w:rPr>
                            </w:pPr>
                            <w:r w:rsidRPr="00C160B5">
                              <w:rPr>
                                <w:b/>
                              </w:rPr>
                              <w:t>Treatment</w:t>
                            </w:r>
                          </w:p>
                        </w:tc>
                      </w:tr>
                      <w:tr w:rsidR="00CC3C52" w:rsidRPr="00AF5B6F" w:rsidTr="00CC3C52">
                        <w:trPr>
                          <w:jc w:val="center"/>
                        </w:trPr>
                        <w:tc>
                          <w:tcPr>
                            <w:tcW w:w="6534" w:type="dxa"/>
                          </w:tcPr>
                          <w:p w:rsidR="00CC3C52" w:rsidRDefault="00CC3C52" w:rsidP="00CC3C52">
                            <w:pPr>
                              <w:rPr>
                                <w:sz w:val="21"/>
                                <w:szCs w:val="21"/>
                              </w:rPr>
                            </w:pPr>
                            <w:r w:rsidRPr="007E439F">
                              <w:rPr>
                                <w:sz w:val="21"/>
                                <w:szCs w:val="21"/>
                              </w:rPr>
                              <w:t>Extraction is the treatment of choice if tooth is recommended for removal. If extraction is not performed, treatment for localized tissue swelling and soreness is irrigation in the office and at home.  Adjustment of opposing dentition may be considered if traumatic.</w:t>
                            </w:r>
                          </w:p>
                          <w:p w:rsidR="00CC3C52" w:rsidRDefault="00CC3C52" w:rsidP="00CC3C52">
                            <w:pPr>
                              <w:rPr>
                                <w:sz w:val="21"/>
                                <w:szCs w:val="21"/>
                              </w:rPr>
                            </w:pPr>
                            <w:r w:rsidRPr="007E439F">
                              <w:rPr>
                                <w:sz w:val="21"/>
                                <w:szCs w:val="21"/>
                              </w:rPr>
                              <w:t>For patients with</w:t>
                            </w:r>
                            <w:r>
                              <w:rPr>
                                <w:sz w:val="21"/>
                                <w:szCs w:val="21"/>
                              </w:rPr>
                              <w:t xml:space="preserve"> localized tissue swelling and soreness,</w:t>
                            </w:r>
                            <w:r w:rsidRPr="007E439F">
                              <w:rPr>
                                <w:sz w:val="21"/>
                                <w:szCs w:val="21"/>
                              </w:rPr>
                              <w:t xml:space="preserve"> fever</w:t>
                            </w:r>
                            <w:r>
                              <w:rPr>
                                <w:sz w:val="21"/>
                                <w:szCs w:val="21"/>
                              </w:rPr>
                              <w:t xml:space="preserve"> &lt; 101</w:t>
                            </w:r>
                            <w:r>
                              <w:rPr>
                                <w:sz w:val="21"/>
                                <w:szCs w:val="21"/>
                                <w:vertAlign w:val="superscript"/>
                              </w:rPr>
                              <w:sym w:font="Symbol" w:char="F0B0"/>
                            </w:r>
                            <w:r>
                              <w:rPr>
                                <w:sz w:val="21"/>
                                <w:szCs w:val="21"/>
                                <w:vertAlign w:val="superscript"/>
                              </w:rPr>
                              <w:t>F</w:t>
                            </w:r>
                            <w:r>
                              <w:rPr>
                                <w:sz w:val="21"/>
                                <w:szCs w:val="21"/>
                              </w:rPr>
                              <w:t xml:space="preserve">, mild </w:t>
                            </w:r>
                            <w:r w:rsidRPr="007E439F">
                              <w:rPr>
                                <w:sz w:val="21"/>
                                <w:szCs w:val="21"/>
                              </w:rPr>
                              <w:t>trismus and/or facial swelling, antibiotics are recommended.</w:t>
                            </w:r>
                          </w:p>
                          <w:p w:rsidR="00CC3C52" w:rsidRDefault="00CC3C52" w:rsidP="00CC3C52">
                            <w:pPr>
                              <w:rPr>
                                <w:sz w:val="21"/>
                                <w:szCs w:val="21"/>
                              </w:rPr>
                            </w:pPr>
                            <w:r w:rsidRPr="007E439F">
                              <w:rPr>
                                <w:sz w:val="21"/>
                                <w:szCs w:val="21"/>
                              </w:rPr>
                              <w:t xml:space="preserve">The recommended </w:t>
                            </w:r>
                            <w:r>
                              <w:rPr>
                                <w:sz w:val="21"/>
                                <w:szCs w:val="21"/>
                              </w:rPr>
                              <w:t xml:space="preserve">systemic antibiotic </w:t>
                            </w:r>
                            <w:r w:rsidRPr="007E439F">
                              <w:rPr>
                                <w:sz w:val="21"/>
                                <w:szCs w:val="21"/>
                              </w:rPr>
                              <w:t>regimen is</w:t>
                            </w:r>
                            <w:r>
                              <w:rPr>
                                <w:sz w:val="21"/>
                                <w:szCs w:val="21"/>
                              </w:rPr>
                              <w:t>:</w:t>
                            </w:r>
                          </w:p>
                          <w:p w:rsidR="00CC3C52" w:rsidRDefault="00CC3C52" w:rsidP="00CC3C52">
                            <w:pPr>
                              <w:pStyle w:val="ListParagraph"/>
                              <w:numPr>
                                <w:ilvl w:val="0"/>
                                <w:numId w:val="2"/>
                              </w:numPr>
                              <w:rPr>
                                <w:sz w:val="21"/>
                                <w:szCs w:val="21"/>
                              </w:rPr>
                            </w:pPr>
                            <w:r>
                              <w:rPr>
                                <w:sz w:val="21"/>
                                <w:szCs w:val="21"/>
                              </w:rPr>
                              <w:t>P</w:t>
                            </w:r>
                            <w:r w:rsidRPr="00955D44">
                              <w:rPr>
                                <w:sz w:val="21"/>
                                <w:szCs w:val="21"/>
                              </w:rPr>
                              <w:t>enicillin V K 500 mg PO QID (consider a l</w:t>
                            </w:r>
                            <w:r>
                              <w:rPr>
                                <w:sz w:val="21"/>
                                <w:szCs w:val="21"/>
                              </w:rPr>
                              <w:t>oading dose of 1,000 mg). Duration is 3-7 days.</w:t>
                            </w:r>
                          </w:p>
                          <w:p w:rsidR="00CC3C52" w:rsidRDefault="00CC3C52" w:rsidP="00CC3C52">
                            <w:pPr>
                              <w:pStyle w:val="ListParagraph"/>
                              <w:numPr>
                                <w:ilvl w:val="0"/>
                                <w:numId w:val="2"/>
                              </w:numPr>
                              <w:rPr>
                                <w:sz w:val="21"/>
                                <w:szCs w:val="21"/>
                              </w:rPr>
                            </w:pPr>
                            <w:r>
                              <w:rPr>
                                <w:sz w:val="21"/>
                                <w:szCs w:val="21"/>
                              </w:rPr>
                              <w:t>A</w:t>
                            </w:r>
                            <w:r w:rsidRPr="00955D44">
                              <w:rPr>
                                <w:sz w:val="21"/>
                                <w:szCs w:val="21"/>
                              </w:rPr>
                              <w:t>lternativ</w:t>
                            </w:r>
                            <w:r>
                              <w:rPr>
                                <w:sz w:val="21"/>
                                <w:szCs w:val="21"/>
                              </w:rPr>
                              <w:t>e is clindamycin 300 mg PO TID</w:t>
                            </w:r>
                            <w:r w:rsidRPr="00955D44">
                              <w:rPr>
                                <w:sz w:val="21"/>
                                <w:szCs w:val="21"/>
                              </w:rPr>
                              <w:t xml:space="preserve"> (consider a loading dose of 600 mg). Duration is 3-7 days.</w:t>
                            </w:r>
                          </w:p>
                          <w:p w:rsidR="00CC3C52" w:rsidRPr="00AF5B6F" w:rsidRDefault="00CC3C52" w:rsidP="00CC3C52">
                            <w:pPr>
                              <w:rPr>
                                <w:sz w:val="21"/>
                                <w:szCs w:val="21"/>
                              </w:rPr>
                            </w:pPr>
                            <w:r>
                              <w:rPr>
                                <w:sz w:val="21"/>
                                <w:szCs w:val="21"/>
                              </w:rPr>
                              <w:t>For patients with symptoms consistent with major systemic involvement (localized tissue swelling and soreness, fever &gt;101</w:t>
                            </w:r>
                            <w:r>
                              <w:rPr>
                                <w:sz w:val="21"/>
                                <w:szCs w:val="21"/>
                                <w:vertAlign w:val="superscript"/>
                              </w:rPr>
                              <w:sym w:font="Symbol" w:char="F0B0"/>
                            </w:r>
                            <w:r>
                              <w:rPr>
                                <w:sz w:val="21"/>
                                <w:szCs w:val="21"/>
                                <w:vertAlign w:val="superscript"/>
                              </w:rPr>
                              <w:t>F</w:t>
                            </w:r>
                            <w:r>
                              <w:rPr>
                                <w:sz w:val="21"/>
                                <w:szCs w:val="21"/>
                              </w:rPr>
                              <w:t>, severe trismus, facial swelling and/or malaise), immediate referral to an oral and maxillofacial surgeon is warranted.</w:t>
                            </w:r>
                          </w:p>
                        </w:tc>
                      </w:tr>
                      <w:tr w:rsidR="00CC3C52" w:rsidRPr="000C30E1" w:rsidTr="00CC3C52">
                        <w:trPr>
                          <w:jc w:val="center"/>
                        </w:trPr>
                        <w:tc>
                          <w:tcPr>
                            <w:tcW w:w="6534" w:type="dxa"/>
                            <w:shd w:val="clear" w:color="auto" w:fill="00B0F0"/>
                          </w:tcPr>
                          <w:p w:rsidR="00CC3C52" w:rsidRPr="000C30E1" w:rsidRDefault="00CC3C52" w:rsidP="00CC3C52">
                            <w:pPr>
                              <w:rPr>
                                <w:color w:val="FFFFFF" w:themeColor="background1"/>
                                <w:sz w:val="24"/>
                                <w:szCs w:val="24"/>
                                <w:vertAlign w:val="superscript"/>
                              </w:rPr>
                            </w:pPr>
                            <w:r>
                              <w:rPr>
                                <w:b/>
                                <w:color w:val="FFFFFF" w:themeColor="background1"/>
                                <w:sz w:val="24"/>
                                <w:szCs w:val="24"/>
                              </w:rPr>
                              <w:t xml:space="preserve">#3) </w:t>
                            </w:r>
                            <w:r w:rsidRPr="000C30E1">
                              <w:rPr>
                                <w:b/>
                                <w:color w:val="FFFFFF" w:themeColor="background1"/>
                                <w:sz w:val="24"/>
                                <w:szCs w:val="24"/>
                              </w:rPr>
                              <w:t>Sinus infection that presents with dental symptoms:</w:t>
                            </w:r>
                            <w:r w:rsidRPr="000C30E1">
                              <w:rPr>
                                <w:color w:val="FFFFFF" w:themeColor="background1"/>
                                <w:sz w:val="24"/>
                                <w:szCs w:val="24"/>
                                <w:vertAlign w:val="superscript"/>
                              </w:rPr>
                              <w:t>5</w:t>
                            </w:r>
                          </w:p>
                        </w:tc>
                      </w:tr>
                      <w:tr w:rsidR="00CC3C52" w:rsidRPr="000C30E1" w:rsidTr="00CC3C52">
                        <w:trPr>
                          <w:jc w:val="center"/>
                        </w:trPr>
                        <w:tc>
                          <w:tcPr>
                            <w:tcW w:w="6534" w:type="dxa"/>
                            <w:shd w:val="clear" w:color="auto" w:fill="BFBFBF" w:themeFill="background1" w:themeFillShade="BF"/>
                          </w:tcPr>
                          <w:p w:rsidR="00CC3C52" w:rsidRPr="000C30E1" w:rsidRDefault="00CC3C52" w:rsidP="00CC3C52">
                            <w:pPr>
                              <w:rPr>
                                <w:b/>
                              </w:rPr>
                            </w:pPr>
                            <w:r w:rsidRPr="000C30E1">
                              <w:rPr>
                                <w:b/>
                              </w:rPr>
                              <w:t>Management</w:t>
                            </w:r>
                          </w:p>
                        </w:tc>
                      </w:tr>
                      <w:tr w:rsidR="00CC3C52" w:rsidRPr="007E439F" w:rsidTr="00CC3C52">
                        <w:trPr>
                          <w:jc w:val="center"/>
                        </w:trPr>
                        <w:tc>
                          <w:tcPr>
                            <w:tcW w:w="6534" w:type="dxa"/>
                          </w:tcPr>
                          <w:p w:rsidR="00CC3C52" w:rsidRPr="007E439F" w:rsidRDefault="00CC3C52" w:rsidP="00CC3C52">
                            <w:pPr>
                              <w:rPr>
                                <w:sz w:val="21"/>
                                <w:szCs w:val="21"/>
                              </w:rPr>
                            </w:pPr>
                            <w:r w:rsidRPr="007E439F">
                              <w:rPr>
                                <w:sz w:val="21"/>
                                <w:szCs w:val="21"/>
                              </w:rPr>
                              <w:t>After a detailed dental examination and appropriate periapical radiograph(s), if there is no evidence of dental pathology, then it is unlikely the sinus pain is coming from a dental source.</w:t>
                            </w:r>
                          </w:p>
                        </w:tc>
                      </w:tr>
                      <w:tr w:rsidR="00CC3C52" w:rsidRPr="000C30E1" w:rsidTr="00CC3C52">
                        <w:trPr>
                          <w:jc w:val="center"/>
                        </w:trPr>
                        <w:tc>
                          <w:tcPr>
                            <w:tcW w:w="6534" w:type="dxa"/>
                            <w:shd w:val="clear" w:color="auto" w:fill="BFBFBF" w:themeFill="background1" w:themeFillShade="BF"/>
                          </w:tcPr>
                          <w:p w:rsidR="00CC3C52" w:rsidRPr="000C30E1" w:rsidRDefault="00CC3C52" w:rsidP="00CC3C52">
                            <w:pPr>
                              <w:rPr>
                                <w:b/>
                              </w:rPr>
                            </w:pPr>
                            <w:r w:rsidRPr="000C30E1">
                              <w:rPr>
                                <w:b/>
                              </w:rPr>
                              <w:t>Treatment</w:t>
                            </w:r>
                          </w:p>
                        </w:tc>
                      </w:tr>
                      <w:tr w:rsidR="00CC3C52" w:rsidRPr="007E439F" w:rsidTr="00CC3C52">
                        <w:trPr>
                          <w:jc w:val="center"/>
                        </w:trPr>
                        <w:tc>
                          <w:tcPr>
                            <w:tcW w:w="6534" w:type="dxa"/>
                          </w:tcPr>
                          <w:p w:rsidR="00CC3C52" w:rsidRPr="007E439F" w:rsidRDefault="00CC3C52" w:rsidP="00CC3C52">
                            <w:pPr>
                              <w:rPr>
                                <w:sz w:val="21"/>
                                <w:szCs w:val="21"/>
                              </w:rPr>
                            </w:pPr>
                            <w:r w:rsidRPr="007E439F">
                              <w:rPr>
                                <w:sz w:val="21"/>
                                <w:szCs w:val="21"/>
                              </w:rPr>
                              <w:t xml:space="preserve">Treating sinus pain with antibiotics as a means of ruling out a dental etiology is not appropriate.  Sinus infections are </w:t>
                            </w:r>
                            <w:r>
                              <w:rPr>
                                <w:sz w:val="21"/>
                                <w:szCs w:val="21"/>
                              </w:rPr>
                              <w:t xml:space="preserve">most </w:t>
                            </w:r>
                            <w:r w:rsidRPr="007E439F">
                              <w:rPr>
                                <w:sz w:val="21"/>
                                <w:szCs w:val="21"/>
                              </w:rPr>
                              <w:t>often viral and will impr</w:t>
                            </w:r>
                            <w:r>
                              <w:rPr>
                                <w:sz w:val="21"/>
                                <w:szCs w:val="21"/>
                              </w:rPr>
                              <w:t xml:space="preserve">ove without use of antibiotics.  </w:t>
                            </w:r>
                            <w:r w:rsidRPr="007E439F">
                              <w:rPr>
                                <w:sz w:val="21"/>
                                <w:szCs w:val="21"/>
                              </w:rPr>
                              <w:t>The patient should be referred to the</w:t>
                            </w:r>
                            <w:r>
                              <w:rPr>
                                <w:sz w:val="21"/>
                                <w:szCs w:val="21"/>
                              </w:rPr>
                              <w:t>ir</w:t>
                            </w:r>
                            <w:r w:rsidRPr="007E439F">
                              <w:rPr>
                                <w:sz w:val="21"/>
                                <w:szCs w:val="21"/>
                              </w:rPr>
                              <w:t xml:space="preserve"> </w:t>
                            </w:r>
                            <w:r>
                              <w:rPr>
                                <w:sz w:val="21"/>
                                <w:szCs w:val="21"/>
                              </w:rPr>
                              <w:t>Primary Care Provider for further management.</w:t>
                            </w:r>
                          </w:p>
                        </w:tc>
                      </w:tr>
                      <w:tr w:rsidR="00CC3C52" w:rsidRPr="00B1074F" w:rsidTr="00CC3C52">
                        <w:trPr>
                          <w:jc w:val="center"/>
                        </w:trPr>
                        <w:tc>
                          <w:tcPr>
                            <w:tcW w:w="6534" w:type="dxa"/>
                            <w:shd w:val="clear" w:color="auto" w:fill="00B0F0"/>
                          </w:tcPr>
                          <w:p w:rsidR="00CC3C52" w:rsidRPr="00B1074F" w:rsidRDefault="00CC3C52" w:rsidP="00CC3C52">
                            <w:pPr>
                              <w:rPr>
                                <w:b/>
                                <w:color w:val="FFFFFF" w:themeColor="background1"/>
                                <w:sz w:val="24"/>
                                <w:szCs w:val="24"/>
                                <w:vertAlign w:val="superscript"/>
                              </w:rPr>
                            </w:pPr>
                            <w:r>
                              <w:rPr>
                                <w:b/>
                                <w:color w:val="FFFFFF" w:themeColor="background1"/>
                                <w:sz w:val="24"/>
                                <w:szCs w:val="24"/>
                              </w:rPr>
                              <w:t xml:space="preserve">#4) </w:t>
                            </w:r>
                            <w:r w:rsidRPr="00B1074F">
                              <w:rPr>
                                <w:b/>
                                <w:color w:val="FFFFFF" w:themeColor="background1"/>
                                <w:sz w:val="24"/>
                                <w:szCs w:val="24"/>
                              </w:rPr>
                              <w:t>Chronic periodontal disease:</w:t>
                            </w:r>
                            <w:r w:rsidRPr="00B1074F">
                              <w:rPr>
                                <w:b/>
                                <w:color w:val="FFFFFF" w:themeColor="background1"/>
                                <w:sz w:val="24"/>
                                <w:szCs w:val="24"/>
                                <w:vertAlign w:val="superscript"/>
                              </w:rPr>
                              <w:t>5</w:t>
                            </w:r>
                          </w:p>
                        </w:tc>
                      </w:tr>
                      <w:tr w:rsidR="00CC3C52" w:rsidRPr="00B1074F" w:rsidTr="00CC3C52">
                        <w:trPr>
                          <w:jc w:val="center"/>
                        </w:trPr>
                        <w:tc>
                          <w:tcPr>
                            <w:tcW w:w="6534" w:type="dxa"/>
                            <w:shd w:val="clear" w:color="auto" w:fill="BFBFBF" w:themeFill="background1" w:themeFillShade="BF"/>
                          </w:tcPr>
                          <w:p w:rsidR="00CC3C52" w:rsidRPr="00B1074F" w:rsidRDefault="00CC3C52" w:rsidP="00CC3C52">
                            <w:pPr>
                              <w:rPr>
                                <w:b/>
                                <w:sz w:val="21"/>
                                <w:szCs w:val="21"/>
                              </w:rPr>
                            </w:pPr>
                            <w:r>
                              <w:rPr>
                                <w:b/>
                                <w:sz w:val="21"/>
                                <w:szCs w:val="21"/>
                              </w:rPr>
                              <w:t>Management/Treatment</w:t>
                            </w:r>
                          </w:p>
                        </w:tc>
                      </w:tr>
                      <w:tr w:rsidR="00CC3C52" w:rsidRPr="00B1074F" w:rsidTr="00CC3C52">
                        <w:trPr>
                          <w:jc w:val="center"/>
                        </w:trPr>
                        <w:tc>
                          <w:tcPr>
                            <w:tcW w:w="6534" w:type="dxa"/>
                            <w:shd w:val="clear" w:color="auto" w:fill="auto"/>
                          </w:tcPr>
                          <w:p w:rsidR="00CC3C52" w:rsidRPr="00B1074F" w:rsidRDefault="00CC3C52" w:rsidP="00CC3C52">
                            <w:pPr>
                              <w:rPr>
                                <w:sz w:val="21"/>
                                <w:szCs w:val="21"/>
                              </w:rPr>
                            </w:pPr>
                            <w:r>
                              <w:rPr>
                                <w:sz w:val="21"/>
                                <w:szCs w:val="21"/>
                              </w:rPr>
                              <w:t>Chronic periodontal disease is not amendable to antibiotic management.  Management includes mechanical cleaning, and maintaining a long-term healthy oral environment is essential.</w:t>
                            </w:r>
                          </w:p>
                        </w:tc>
                      </w:tr>
                    </w:tbl>
                    <w:p w:rsidR="00CC3C52" w:rsidRDefault="00CC3C52" w:rsidP="00CC3C52"/>
                  </w:txbxContent>
                </v:textbox>
              </v:shape>
            </w:pict>
          </mc:Fallback>
        </mc:AlternateContent>
      </w:r>
      <w:r w:rsidR="005C0D40">
        <w:rPr>
          <w:noProof/>
        </w:rPr>
        <mc:AlternateContent>
          <mc:Choice Requires="wps">
            <w:drawing>
              <wp:anchor distT="0" distB="0" distL="114300" distR="114300" simplePos="0" relativeHeight="251669504" behindDoc="0" locked="0" layoutInCell="1" allowOverlap="1" wp14:anchorId="1032A168" wp14:editId="0166BED8">
                <wp:simplePos x="0" y="0"/>
                <wp:positionH relativeFrom="column">
                  <wp:posOffset>5092699</wp:posOffset>
                </wp:positionH>
                <wp:positionV relativeFrom="paragraph">
                  <wp:posOffset>35560</wp:posOffset>
                </wp:positionV>
                <wp:extent cx="4600575" cy="7494905"/>
                <wp:effectExtent l="0" t="0" r="28575" b="1079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600575" cy="7494905"/>
                        </a:xfrm>
                        <a:prstGeom prst="rect">
                          <a:avLst/>
                        </a:prstGeom>
                        <a:solidFill>
                          <a:srgbClr val="FFFFFF"/>
                        </a:solidFill>
                        <a:ln w="9525">
                          <a:solidFill>
                            <a:schemeClr val="bg1"/>
                          </a:solidFill>
                          <a:miter lim="800000"/>
                          <a:headEnd/>
                          <a:tailEnd/>
                        </a:ln>
                      </wps:spPr>
                      <wps:txbx>
                        <w:txbxContent>
                          <w:p w:rsidR="005C0D40" w:rsidRDefault="005C0D40" w:rsidP="005C0D40">
                            <w:pPr>
                              <w:spacing w:after="0" w:line="240" w:lineRule="auto"/>
                              <w:rPr>
                                <w:sz w:val="20"/>
                                <w:szCs w:val="20"/>
                              </w:rPr>
                            </w:pPr>
                          </w:p>
                          <w:p w:rsidR="005C0D40" w:rsidRDefault="005C0D40" w:rsidP="005C0D40">
                            <w:pPr>
                              <w:spacing w:after="0" w:line="240" w:lineRule="auto"/>
                              <w:rPr>
                                <w:sz w:val="20"/>
                                <w:szCs w:val="20"/>
                              </w:rPr>
                            </w:pPr>
                          </w:p>
                          <w:p w:rsidR="005C0D40" w:rsidRPr="005C0D40" w:rsidRDefault="005C0D40" w:rsidP="005C0D40">
                            <w:pPr>
                              <w:spacing w:after="0" w:line="240" w:lineRule="auto"/>
                              <w:rPr>
                                <w:sz w:val="20"/>
                                <w:szCs w:val="20"/>
                              </w:rPr>
                            </w:pPr>
                            <w:r w:rsidRPr="005C0D40">
                              <w:rPr>
                                <w:sz w:val="20"/>
                                <w:szCs w:val="20"/>
                              </w:rPr>
                              <w:t>To minimize confusion, it is recommended that doses of ibuprofen and acetaminophen are taken together.  Consider having a cell phone alarm act as a reminder to take medication this often.  Additionally, ibuprofen and acetaminophen can be staggered and taken alternating.</w:t>
                            </w:r>
                          </w:p>
                          <w:p w:rsidR="005C0D40" w:rsidRPr="005C0D40" w:rsidRDefault="005C0D40" w:rsidP="005C0D40">
                            <w:pPr>
                              <w:spacing w:after="0" w:line="240" w:lineRule="auto"/>
                              <w:rPr>
                                <w:sz w:val="20"/>
                                <w:szCs w:val="20"/>
                              </w:rPr>
                            </w:pPr>
                          </w:p>
                          <w:tbl>
                            <w:tblPr>
                              <w:tblStyle w:val="LightShading-Accent1"/>
                              <w:tblW w:w="6949" w:type="dxa"/>
                              <w:jc w:val="center"/>
                              <w:tblLook w:val="04A0" w:firstRow="1" w:lastRow="0" w:firstColumn="1" w:lastColumn="0" w:noHBand="0" w:noVBand="1"/>
                            </w:tblPr>
                            <w:tblGrid>
                              <w:gridCol w:w="1737"/>
                              <w:gridCol w:w="1737"/>
                              <w:gridCol w:w="1737"/>
                              <w:gridCol w:w="1738"/>
                            </w:tblGrid>
                            <w:tr w:rsidR="005C0D40" w:rsidRPr="005C0D40" w:rsidTr="002B51BC">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6949" w:type="dxa"/>
                                  <w:gridSpan w:val="4"/>
                                </w:tcPr>
                                <w:p w:rsidR="005C0D40" w:rsidRPr="002B51BC" w:rsidRDefault="002B51BC" w:rsidP="005C0D40">
                                  <w:pPr>
                                    <w:rPr>
                                      <w:sz w:val="19"/>
                                      <w:szCs w:val="19"/>
                                    </w:rPr>
                                  </w:pPr>
                                  <w:r>
                                    <w:rPr>
                                      <w:sz w:val="19"/>
                                      <w:szCs w:val="19"/>
                                    </w:rPr>
                                    <w:t>Recommended regimen for combining acetaminophen +</w:t>
                                  </w:r>
                                  <w:r w:rsidR="005C0D40" w:rsidRPr="002B51BC">
                                    <w:rPr>
                                      <w:sz w:val="19"/>
                                      <w:szCs w:val="19"/>
                                    </w:rPr>
                                    <w:t xml:space="preserve"> ibuprofen: preferred option</w:t>
                                  </w:r>
                                </w:p>
                              </w:tc>
                            </w:tr>
                            <w:tr w:rsidR="005C0D40" w:rsidRPr="005C0D40" w:rsidTr="005C0D40">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1737" w:type="dxa"/>
                                </w:tcPr>
                                <w:p w:rsidR="005C0D40" w:rsidRPr="005C0D40" w:rsidRDefault="005C0D40" w:rsidP="005C0D40">
                                  <w:pPr>
                                    <w:rPr>
                                      <w:b w:val="0"/>
                                      <w:sz w:val="20"/>
                                      <w:szCs w:val="20"/>
                                    </w:rPr>
                                  </w:pPr>
                                  <w:r w:rsidRPr="005C0D40">
                                    <w:rPr>
                                      <w:b w:val="0"/>
                                      <w:sz w:val="20"/>
                                      <w:szCs w:val="20"/>
                                    </w:rPr>
                                    <w:t>Breakfast</w:t>
                                  </w:r>
                                </w:p>
                              </w:tc>
                              <w:tc>
                                <w:tcPr>
                                  <w:tcW w:w="1737" w:type="dxa"/>
                                </w:tcPr>
                                <w:p w:rsidR="005C0D40" w:rsidRPr="005C0D40" w:rsidRDefault="005C0D40" w:rsidP="005C0D40">
                                  <w:pPr>
                                    <w:cnfStyle w:val="000000100000" w:firstRow="0" w:lastRow="0" w:firstColumn="0" w:lastColumn="0" w:oddVBand="0" w:evenVBand="0" w:oddHBand="1" w:evenHBand="0" w:firstRowFirstColumn="0" w:firstRowLastColumn="0" w:lastRowFirstColumn="0" w:lastRowLastColumn="0"/>
                                    <w:rPr>
                                      <w:sz w:val="20"/>
                                      <w:szCs w:val="20"/>
                                    </w:rPr>
                                  </w:pPr>
                                  <w:r w:rsidRPr="005C0D40">
                                    <w:rPr>
                                      <w:sz w:val="20"/>
                                      <w:szCs w:val="20"/>
                                    </w:rPr>
                                    <w:t>Lunch</w:t>
                                  </w:r>
                                </w:p>
                              </w:tc>
                              <w:tc>
                                <w:tcPr>
                                  <w:tcW w:w="1737" w:type="dxa"/>
                                </w:tcPr>
                                <w:p w:rsidR="005C0D40" w:rsidRPr="005C0D40" w:rsidRDefault="005C0D40" w:rsidP="005C0D40">
                                  <w:pPr>
                                    <w:cnfStyle w:val="000000100000" w:firstRow="0" w:lastRow="0" w:firstColumn="0" w:lastColumn="0" w:oddVBand="0" w:evenVBand="0" w:oddHBand="1" w:evenHBand="0" w:firstRowFirstColumn="0" w:firstRowLastColumn="0" w:lastRowFirstColumn="0" w:lastRowLastColumn="0"/>
                                    <w:rPr>
                                      <w:sz w:val="20"/>
                                      <w:szCs w:val="20"/>
                                    </w:rPr>
                                  </w:pPr>
                                  <w:r w:rsidRPr="005C0D40">
                                    <w:rPr>
                                      <w:sz w:val="20"/>
                                      <w:szCs w:val="20"/>
                                    </w:rPr>
                                    <w:t>Dinner</w:t>
                                  </w:r>
                                </w:p>
                              </w:tc>
                              <w:tc>
                                <w:tcPr>
                                  <w:tcW w:w="1737" w:type="dxa"/>
                                </w:tcPr>
                                <w:p w:rsidR="005C0D40" w:rsidRPr="005C0D40" w:rsidRDefault="005C0D40" w:rsidP="005C0D40">
                                  <w:pPr>
                                    <w:cnfStyle w:val="000000100000" w:firstRow="0" w:lastRow="0" w:firstColumn="0" w:lastColumn="0" w:oddVBand="0" w:evenVBand="0" w:oddHBand="1" w:evenHBand="0" w:firstRowFirstColumn="0" w:firstRowLastColumn="0" w:lastRowFirstColumn="0" w:lastRowLastColumn="0"/>
                                    <w:rPr>
                                      <w:sz w:val="20"/>
                                      <w:szCs w:val="20"/>
                                    </w:rPr>
                                  </w:pPr>
                                  <w:r w:rsidRPr="005C0D40">
                                    <w:rPr>
                                      <w:sz w:val="20"/>
                                      <w:szCs w:val="20"/>
                                    </w:rPr>
                                    <w:t>Before Bedtime</w:t>
                                  </w:r>
                                </w:p>
                              </w:tc>
                            </w:tr>
                            <w:tr w:rsidR="005C0D40" w:rsidRPr="005C0D40" w:rsidTr="005C0D40">
                              <w:trPr>
                                <w:trHeight w:val="551"/>
                                <w:jc w:val="center"/>
                              </w:trPr>
                              <w:tc>
                                <w:tcPr>
                                  <w:cnfStyle w:val="001000000000" w:firstRow="0" w:lastRow="0" w:firstColumn="1" w:lastColumn="0" w:oddVBand="0" w:evenVBand="0" w:oddHBand="0" w:evenHBand="0" w:firstRowFirstColumn="0" w:firstRowLastColumn="0" w:lastRowFirstColumn="0" w:lastRowLastColumn="0"/>
                                  <w:tcW w:w="1737" w:type="dxa"/>
                                </w:tcPr>
                                <w:p w:rsidR="005C0D40" w:rsidRPr="005C0D40" w:rsidRDefault="005C0D40" w:rsidP="005C0D40">
                                  <w:pPr>
                                    <w:rPr>
                                      <w:b w:val="0"/>
                                      <w:sz w:val="20"/>
                                      <w:szCs w:val="20"/>
                                    </w:rPr>
                                  </w:pPr>
                                  <w:r w:rsidRPr="005C0D40">
                                    <w:rPr>
                                      <w:b w:val="0"/>
                                      <w:sz w:val="20"/>
                                      <w:szCs w:val="20"/>
                                    </w:rPr>
                                    <w:t>acetaminophen 1000mg</w:t>
                                  </w:r>
                                </w:p>
                              </w:tc>
                              <w:tc>
                                <w:tcPr>
                                  <w:tcW w:w="1737" w:type="dxa"/>
                                </w:tcPr>
                                <w:p w:rsidR="005C0D40" w:rsidRPr="005C0D40" w:rsidRDefault="005C0D40" w:rsidP="005C0D40">
                                  <w:pPr>
                                    <w:cnfStyle w:val="000000000000" w:firstRow="0" w:lastRow="0" w:firstColumn="0" w:lastColumn="0" w:oddVBand="0" w:evenVBand="0" w:oddHBand="0" w:evenHBand="0" w:firstRowFirstColumn="0" w:firstRowLastColumn="0" w:lastRowFirstColumn="0" w:lastRowLastColumn="0"/>
                                    <w:rPr>
                                      <w:sz w:val="20"/>
                                      <w:szCs w:val="20"/>
                                    </w:rPr>
                                  </w:pPr>
                                  <w:r w:rsidRPr="005C0D40">
                                    <w:rPr>
                                      <w:sz w:val="20"/>
                                      <w:szCs w:val="20"/>
                                    </w:rPr>
                                    <w:t>acetaminophen 1000mg</w:t>
                                  </w:r>
                                </w:p>
                              </w:tc>
                              <w:tc>
                                <w:tcPr>
                                  <w:tcW w:w="1737" w:type="dxa"/>
                                </w:tcPr>
                                <w:p w:rsidR="005C0D40" w:rsidRPr="005C0D40" w:rsidRDefault="005C0D40" w:rsidP="005C0D40">
                                  <w:pPr>
                                    <w:cnfStyle w:val="000000000000" w:firstRow="0" w:lastRow="0" w:firstColumn="0" w:lastColumn="0" w:oddVBand="0" w:evenVBand="0" w:oddHBand="0" w:evenHBand="0" w:firstRowFirstColumn="0" w:firstRowLastColumn="0" w:lastRowFirstColumn="0" w:lastRowLastColumn="0"/>
                                    <w:rPr>
                                      <w:sz w:val="20"/>
                                      <w:szCs w:val="20"/>
                                    </w:rPr>
                                  </w:pPr>
                                  <w:r w:rsidRPr="005C0D40">
                                    <w:rPr>
                                      <w:sz w:val="20"/>
                                      <w:szCs w:val="20"/>
                                    </w:rPr>
                                    <w:t>acetaminophen 1000mg</w:t>
                                  </w:r>
                                </w:p>
                              </w:tc>
                              <w:tc>
                                <w:tcPr>
                                  <w:tcW w:w="1737" w:type="dxa"/>
                                </w:tcPr>
                                <w:p w:rsidR="005C0D40" w:rsidRPr="005C0D40" w:rsidRDefault="005C0D40" w:rsidP="005C0D40">
                                  <w:pPr>
                                    <w:cnfStyle w:val="000000000000" w:firstRow="0" w:lastRow="0" w:firstColumn="0" w:lastColumn="0" w:oddVBand="0" w:evenVBand="0" w:oddHBand="0" w:evenHBand="0" w:firstRowFirstColumn="0" w:firstRowLastColumn="0" w:lastRowFirstColumn="0" w:lastRowLastColumn="0"/>
                                    <w:rPr>
                                      <w:sz w:val="20"/>
                                      <w:szCs w:val="20"/>
                                    </w:rPr>
                                  </w:pPr>
                                  <w:r w:rsidRPr="005C0D40">
                                    <w:rPr>
                                      <w:sz w:val="20"/>
                                      <w:szCs w:val="20"/>
                                    </w:rPr>
                                    <w:t>acetaminophen 1000mg</w:t>
                                  </w:r>
                                </w:p>
                              </w:tc>
                            </w:tr>
                            <w:tr w:rsidR="005C0D40" w:rsidRPr="005C0D40" w:rsidTr="005C0D40">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1737" w:type="dxa"/>
                                </w:tcPr>
                                <w:p w:rsidR="005C0D40" w:rsidRPr="005C0D40" w:rsidRDefault="005C0D40" w:rsidP="005C0D40">
                                  <w:pPr>
                                    <w:rPr>
                                      <w:b w:val="0"/>
                                      <w:sz w:val="20"/>
                                      <w:szCs w:val="20"/>
                                    </w:rPr>
                                  </w:pPr>
                                  <w:r w:rsidRPr="005C0D40">
                                    <w:rPr>
                                      <w:b w:val="0"/>
                                      <w:sz w:val="20"/>
                                      <w:szCs w:val="20"/>
                                    </w:rPr>
                                    <w:t>ibuprofen 400mg to 600mg</w:t>
                                  </w:r>
                                </w:p>
                              </w:tc>
                              <w:tc>
                                <w:tcPr>
                                  <w:tcW w:w="1737" w:type="dxa"/>
                                </w:tcPr>
                                <w:p w:rsidR="005C0D40" w:rsidRPr="005C0D40" w:rsidRDefault="005C0D40" w:rsidP="005C0D40">
                                  <w:pPr>
                                    <w:cnfStyle w:val="000000100000" w:firstRow="0" w:lastRow="0" w:firstColumn="0" w:lastColumn="0" w:oddVBand="0" w:evenVBand="0" w:oddHBand="1" w:evenHBand="0" w:firstRowFirstColumn="0" w:firstRowLastColumn="0" w:lastRowFirstColumn="0" w:lastRowLastColumn="0"/>
                                    <w:rPr>
                                      <w:sz w:val="20"/>
                                      <w:szCs w:val="20"/>
                                    </w:rPr>
                                  </w:pPr>
                                  <w:r w:rsidRPr="005C0D40">
                                    <w:rPr>
                                      <w:sz w:val="20"/>
                                      <w:szCs w:val="20"/>
                                    </w:rPr>
                                    <w:t>ibuprofen 400mg to 600mg</w:t>
                                  </w:r>
                                </w:p>
                              </w:tc>
                              <w:tc>
                                <w:tcPr>
                                  <w:tcW w:w="1737" w:type="dxa"/>
                                </w:tcPr>
                                <w:p w:rsidR="005C0D40" w:rsidRPr="005C0D40" w:rsidRDefault="005C0D40" w:rsidP="005C0D40">
                                  <w:pPr>
                                    <w:cnfStyle w:val="000000100000" w:firstRow="0" w:lastRow="0" w:firstColumn="0" w:lastColumn="0" w:oddVBand="0" w:evenVBand="0" w:oddHBand="1" w:evenHBand="0" w:firstRowFirstColumn="0" w:firstRowLastColumn="0" w:lastRowFirstColumn="0" w:lastRowLastColumn="0"/>
                                    <w:rPr>
                                      <w:sz w:val="20"/>
                                      <w:szCs w:val="20"/>
                                    </w:rPr>
                                  </w:pPr>
                                  <w:r w:rsidRPr="005C0D40">
                                    <w:rPr>
                                      <w:sz w:val="20"/>
                                      <w:szCs w:val="20"/>
                                    </w:rPr>
                                    <w:t>ibuprofen 400mg to 600mg</w:t>
                                  </w:r>
                                </w:p>
                              </w:tc>
                              <w:tc>
                                <w:tcPr>
                                  <w:tcW w:w="1737" w:type="dxa"/>
                                </w:tcPr>
                                <w:p w:rsidR="005C0D40" w:rsidRPr="005C0D40" w:rsidRDefault="005C0D40" w:rsidP="005C0D40">
                                  <w:pPr>
                                    <w:cnfStyle w:val="000000100000" w:firstRow="0" w:lastRow="0" w:firstColumn="0" w:lastColumn="0" w:oddVBand="0" w:evenVBand="0" w:oddHBand="1" w:evenHBand="0" w:firstRowFirstColumn="0" w:firstRowLastColumn="0" w:lastRowFirstColumn="0" w:lastRowLastColumn="0"/>
                                    <w:rPr>
                                      <w:sz w:val="20"/>
                                      <w:szCs w:val="20"/>
                                    </w:rPr>
                                  </w:pPr>
                                  <w:r w:rsidRPr="005C0D40">
                                    <w:rPr>
                                      <w:sz w:val="20"/>
                                      <w:szCs w:val="20"/>
                                    </w:rPr>
                                    <w:t>ibuprofen 400mg to 600mg</w:t>
                                  </w:r>
                                </w:p>
                              </w:tc>
                            </w:tr>
                            <w:tr w:rsidR="005C0D40" w:rsidRPr="005C0D40" w:rsidTr="005C0D40">
                              <w:trPr>
                                <w:trHeight w:val="762"/>
                                <w:jc w:val="center"/>
                              </w:trPr>
                              <w:tc>
                                <w:tcPr>
                                  <w:cnfStyle w:val="001000000000" w:firstRow="0" w:lastRow="0" w:firstColumn="1" w:lastColumn="0" w:oddVBand="0" w:evenVBand="0" w:oddHBand="0" w:evenHBand="0" w:firstRowFirstColumn="0" w:firstRowLastColumn="0" w:lastRowFirstColumn="0" w:lastRowLastColumn="0"/>
                                  <w:tcW w:w="6949" w:type="dxa"/>
                                  <w:gridSpan w:val="4"/>
                                </w:tcPr>
                                <w:p w:rsidR="005C0D40" w:rsidRPr="005C0D40" w:rsidRDefault="005C0D40" w:rsidP="005C0D40">
                                  <w:pPr>
                                    <w:rPr>
                                      <w:b w:val="0"/>
                                      <w:sz w:val="20"/>
                                      <w:szCs w:val="20"/>
                                    </w:rPr>
                                  </w:pPr>
                                  <w:r w:rsidRPr="005C0D40">
                                    <w:rPr>
                                      <w:b w:val="0"/>
                                      <w:sz w:val="20"/>
                                      <w:szCs w:val="20"/>
                                    </w:rPr>
                                    <w:t xml:space="preserve">Or the alternative is to stagger the doses of acetaminophen and ibuprofen over 24 hours.    If this regimen is used, ensure that ibuprofen is taken with food.  Acetaminophen is taken every 4-6 hours, and ibuprofen is taken every 6-8 hours.  </w:t>
                                  </w:r>
                                </w:p>
                              </w:tc>
                            </w:tr>
                          </w:tbl>
                          <w:p w:rsidR="005C0D40" w:rsidRPr="005C0D40" w:rsidRDefault="005C0D40" w:rsidP="005C0D40">
                            <w:pPr>
                              <w:spacing w:after="0" w:line="240" w:lineRule="auto"/>
                              <w:rPr>
                                <w:sz w:val="20"/>
                                <w:szCs w:val="20"/>
                              </w:rPr>
                            </w:pPr>
                          </w:p>
                          <w:p w:rsidR="005C0D40" w:rsidRPr="005C0D40" w:rsidRDefault="005C0D40" w:rsidP="005C0D40">
                            <w:pPr>
                              <w:pStyle w:val="ListParagraph"/>
                              <w:numPr>
                                <w:ilvl w:val="0"/>
                                <w:numId w:val="10"/>
                              </w:numPr>
                              <w:spacing w:after="0" w:line="240" w:lineRule="auto"/>
                              <w:rPr>
                                <w:sz w:val="20"/>
                                <w:szCs w:val="20"/>
                              </w:rPr>
                            </w:pPr>
                            <w:r w:rsidRPr="005C0D40">
                              <w:rPr>
                                <w:sz w:val="20"/>
                                <w:szCs w:val="20"/>
                              </w:rPr>
                              <w:t>Do not exceed recommended maximum doses:</w:t>
                            </w:r>
                          </w:p>
                          <w:p w:rsidR="005C0D40" w:rsidRPr="005C0D40" w:rsidRDefault="005C0D40" w:rsidP="005C0D40">
                            <w:pPr>
                              <w:pStyle w:val="ListParagraph"/>
                              <w:numPr>
                                <w:ilvl w:val="0"/>
                                <w:numId w:val="11"/>
                              </w:numPr>
                              <w:spacing w:after="0" w:line="240" w:lineRule="auto"/>
                              <w:rPr>
                                <w:sz w:val="20"/>
                                <w:szCs w:val="20"/>
                              </w:rPr>
                            </w:pPr>
                            <w:r w:rsidRPr="005C0D40">
                              <w:rPr>
                                <w:sz w:val="20"/>
                                <w:szCs w:val="20"/>
                              </w:rPr>
                              <w:t>4000mg acetaminophen in a 24 hour  period</w:t>
                            </w:r>
                          </w:p>
                          <w:p w:rsidR="005C0D40" w:rsidRPr="005C0D40" w:rsidRDefault="005C0D40" w:rsidP="005C0D40">
                            <w:pPr>
                              <w:pStyle w:val="ListParagraph"/>
                              <w:numPr>
                                <w:ilvl w:val="0"/>
                                <w:numId w:val="11"/>
                              </w:numPr>
                              <w:spacing w:after="0" w:line="240" w:lineRule="auto"/>
                              <w:rPr>
                                <w:sz w:val="20"/>
                                <w:szCs w:val="20"/>
                              </w:rPr>
                            </w:pPr>
                            <w:r w:rsidRPr="005C0D40">
                              <w:rPr>
                                <w:sz w:val="20"/>
                                <w:szCs w:val="20"/>
                              </w:rPr>
                              <w:t xml:space="preserve">2400mg ibuprofen in a 24 hour period (in some instances, 3200mg ibuprofen/day) </w:t>
                            </w:r>
                          </w:p>
                          <w:p w:rsidR="005C0D40" w:rsidRPr="005C0D40" w:rsidRDefault="005C0D40" w:rsidP="005C0D40">
                            <w:pPr>
                              <w:pStyle w:val="ListParagraph"/>
                              <w:numPr>
                                <w:ilvl w:val="0"/>
                                <w:numId w:val="12"/>
                              </w:numPr>
                              <w:spacing w:after="0" w:line="240" w:lineRule="auto"/>
                              <w:rPr>
                                <w:sz w:val="20"/>
                                <w:szCs w:val="20"/>
                              </w:rPr>
                            </w:pPr>
                            <w:r w:rsidRPr="005C0D40">
                              <w:rPr>
                                <w:sz w:val="20"/>
                                <w:szCs w:val="20"/>
                              </w:rPr>
                              <w:t>Before taking pain medications, always tell your dentist or pharmacist what you are already taking or normally take for pain, including any prescribed or over-the-counter remedies.</w:t>
                            </w:r>
                          </w:p>
                          <w:p w:rsidR="005C0D40" w:rsidRPr="005C0D40" w:rsidRDefault="005C0D40" w:rsidP="005C0D40">
                            <w:pPr>
                              <w:pStyle w:val="ListParagraph"/>
                              <w:numPr>
                                <w:ilvl w:val="0"/>
                                <w:numId w:val="12"/>
                              </w:numPr>
                              <w:spacing w:after="0" w:line="240" w:lineRule="auto"/>
                              <w:rPr>
                                <w:sz w:val="20"/>
                                <w:szCs w:val="20"/>
                              </w:rPr>
                            </w:pPr>
                            <w:r w:rsidRPr="005C0D40">
                              <w:rPr>
                                <w:sz w:val="20"/>
                                <w:szCs w:val="20"/>
                              </w:rPr>
                              <w:t>Ibuprofen should be taken with food.  Acetaminophen can be taken with or without food.</w:t>
                            </w:r>
                          </w:p>
                          <w:p w:rsidR="005C0D40" w:rsidRPr="005C0D40" w:rsidRDefault="005C0D40" w:rsidP="005C0D40">
                            <w:pPr>
                              <w:pStyle w:val="ListParagraph"/>
                              <w:spacing w:after="0" w:line="240" w:lineRule="auto"/>
                              <w:rPr>
                                <w:sz w:val="20"/>
                                <w:szCs w:val="20"/>
                              </w:rPr>
                            </w:pPr>
                          </w:p>
                          <w:p w:rsidR="005C0D40" w:rsidRPr="005C0D40" w:rsidRDefault="005C0D40" w:rsidP="005C0D40">
                            <w:pPr>
                              <w:spacing w:after="0" w:line="240" w:lineRule="auto"/>
                              <w:rPr>
                                <w:sz w:val="18"/>
                                <w:szCs w:val="18"/>
                              </w:rPr>
                            </w:pPr>
                            <w:r w:rsidRPr="005C0D40">
                              <w:rPr>
                                <w:sz w:val="18"/>
                                <w:szCs w:val="18"/>
                              </w:rPr>
                              <w:t>Additional prescribing precautions for ibuprofen and acetaminophen:</w:t>
                            </w:r>
                          </w:p>
                          <w:p w:rsidR="005C0D40" w:rsidRPr="005C0D40" w:rsidRDefault="005C0D40" w:rsidP="005C0D40">
                            <w:pPr>
                              <w:pStyle w:val="ListParagraph"/>
                              <w:numPr>
                                <w:ilvl w:val="0"/>
                                <w:numId w:val="12"/>
                              </w:numPr>
                              <w:spacing w:after="0" w:line="240" w:lineRule="auto"/>
                              <w:rPr>
                                <w:sz w:val="18"/>
                                <w:szCs w:val="18"/>
                              </w:rPr>
                            </w:pPr>
                            <w:r w:rsidRPr="005C0D40">
                              <w:rPr>
                                <w:sz w:val="18"/>
                                <w:szCs w:val="18"/>
                              </w:rPr>
                              <w:t xml:space="preserve">Avoid ibuprofen in patients: with a hypersensitivity to aspirin or any other nonsteroidal anti-inflammatory drugs (NSAID) including those who have experienced attacks of asthma (difficulty breathing), angioedema (acute swelling allergic reaction), urticaria (hives) or rhinitis (runny or itchy nose) precipitated by aspirin or another NSAID; with active peptic ulcer disease or history of NSAID-associated ulcer disease; in the third trimester of pregnancy; with severe heart failure; taking any other NSAID painkillers. </w:t>
                            </w:r>
                          </w:p>
                          <w:p w:rsidR="005C0D40" w:rsidRPr="005C0D40" w:rsidRDefault="005C0D40" w:rsidP="005C0D40">
                            <w:pPr>
                              <w:pStyle w:val="ListParagraph"/>
                              <w:numPr>
                                <w:ilvl w:val="0"/>
                                <w:numId w:val="12"/>
                              </w:numPr>
                              <w:spacing w:after="0" w:line="240" w:lineRule="auto"/>
                              <w:rPr>
                                <w:sz w:val="18"/>
                                <w:szCs w:val="18"/>
                              </w:rPr>
                            </w:pPr>
                            <w:r w:rsidRPr="005C0D40">
                              <w:rPr>
                                <w:sz w:val="18"/>
                                <w:szCs w:val="18"/>
                              </w:rPr>
                              <w:t xml:space="preserve"> Use ibuprofen with caution in patients: with a history of asthma or other allergic disease, bowel problems, ulcerative colitis, Crohn’s disease or connective tissue disorders; patients with severe renal, cardiac or hepatic impairment; who are elderly; with uncontrolled hypertension; with coagulation defects or inherited bleeding disorders; in the first 6 months of pregnancy; who are breastfeeding; taking the following medicines:  anticoagulants, antihypertensives, methotrexate, antidepressants, antianxiety medications, select serotonin reuptake inhibitors (SSRIs), lithium or antiplatelet agents.</w:t>
                            </w:r>
                          </w:p>
                          <w:p w:rsidR="005C0D40" w:rsidRPr="005C0D40" w:rsidRDefault="005C0D40" w:rsidP="005C0D40">
                            <w:pPr>
                              <w:pStyle w:val="ListParagraph"/>
                              <w:numPr>
                                <w:ilvl w:val="0"/>
                                <w:numId w:val="12"/>
                              </w:numPr>
                              <w:spacing w:after="0" w:line="240" w:lineRule="auto"/>
                              <w:rPr>
                                <w:sz w:val="18"/>
                                <w:szCs w:val="18"/>
                              </w:rPr>
                            </w:pPr>
                            <w:r w:rsidRPr="005C0D40">
                              <w:rPr>
                                <w:sz w:val="18"/>
                                <w:szCs w:val="18"/>
                              </w:rPr>
                              <w:t xml:space="preserve">Avoid acetaminophen in patients with hypersensitivity to acetaminophen or any of the preparation excipients.                         </w:t>
                            </w:r>
                          </w:p>
                          <w:p w:rsidR="005C0D40" w:rsidRPr="005C0D40" w:rsidRDefault="005C0D40" w:rsidP="005C0D40">
                            <w:pPr>
                              <w:pStyle w:val="ListParagraph"/>
                              <w:numPr>
                                <w:ilvl w:val="0"/>
                                <w:numId w:val="12"/>
                              </w:numPr>
                              <w:spacing w:after="0" w:line="240" w:lineRule="auto"/>
                              <w:rPr>
                                <w:sz w:val="18"/>
                                <w:szCs w:val="18"/>
                              </w:rPr>
                            </w:pPr>
                            <w:r w:rsidRPr="005C0D40">
                              <w:rPr>
                                <w:sz w:val="18"/>
                                <w:szCs w:val="18"/>
                              </w:rPr>
                              <w:t>Use acetaminophen in caution in patients with severe hepatic or renal impairment.</w:t>
                            </w:r>
                          </w:p>
                          <w:p w:rsidR="005C0D40" w:rsidRDefault="005C0D40"/>
                          <w:p w:rsidR="005C0D40" w:rsidRDefault="005C0D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01pt;margin-top:2.8pt;width:362.25pt;height:590.1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" strokecolor="white [3212]">
                <v:textbox>
                  <w:txbxContent>
                    <w:p w:rsidR="005C0D40" w:rsidRDefault="005C0D40" w:rsidP="005C0D40">
                      <w:pPr>
                        <w:spacing w:after="0" w:line="240" w:lineRule="auto"/>
                        <w:rPr>
                          <w:sz w:val="20"/>
                          <w:szCs w:val="20"/>
                        </w:rPr>
                      </w:pPr>
                    </w:p>
                    <w:p w:rsidR="005C0D40" w:rsidRDefault="005C0D40" w:rsidP="005C0D40">
                      <w:pPr>
                        <w:spacing w:after="0" w:line="240" w:lineRule="auto"/>
                        <w:rPr>
                          <w:sz w:val="20"/>
                          <w:szCs w:val="20"/>
                        </w:rPr>
                      </w:pPr>
                    </w:p>
                    <w:p w:rsidR="005C0D40" w:rsidRPr="005C0D40" w:rsidRDefault="005C0D40" w:rsidP="005C0D40">
                      <w:pPr>
                        <w:spacing w:after="0" w:line="240" w:lineRule="auto"/>
                        <w:rPr>
                          <w:sz w:val="20"/>
                          <w:szCs w:val="20"/>
                        </w:rPr>
                      </w:pPr>
                      <w:r w:rsidRPr="005C0D40">
                        <w:rPr>
                          <w:sz w:val="20"/>
                          <w:szCs w:val="20"/>
                        </w:rPr>
                        <w:t>To minimize confusion, it is recommended that doses of ibuprofen and acetaminophen are taken together.  Consider having a cell phone alarm act as a reminder to take medication this often.  Additionally, ibuprofen and acetaminophen can be staggered and taken alternating.</w:t>
                      </w:r>
                    </w:p>
                    <w:p w:rsidR="005C0D40" w:rsidRPr="005C0D40" w:rsidRDefault="005C0D40" w:rsidP="005C0D40">
                      <w:pPr>
                        <w:spacing w:after="0" w:line="240" w:lineRule="auto"/>
                        <w:rPr>
                          <w:sz w:val="20"/>
                          <w:szCs w:val="20"/>
                        </w:rPr>
                      </w:pPr>
                    </w:p>
                    <w:tbl>
                      <w:tblPr>
                        <w:tblStyle w:val="LightShading-Accent1"/>
                        <w:tblW w:w="6949" w:type="dxa"/>
                        <w:jc w:val="center"/>
                        <w:tblLook w:val="04A0" w:firstRow="1" w:lastRow="0" w:firstColumn="1" w:lastColumn="0" w:noHBand="0" w:noVBand="1"/>
                      </w:tblPr>
                      <w:tblGrid>
                        <w:gridCol w:w="1737"/>
                        <w:gridCol w:w="1737"/>
                        <w:gridCol w:w="1737"/>
                        <w:gridCol w:w="1738"/>
                      </w:tblGrid>
                      <w:tr w:rsidR="005C0D40" w:rsidRPr="005C0D40" w:rsidTr="002B51BC">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6949" w:type="dxa"/>
                            <w:gridSpan w:val="4"/>
                          </w:tcPr>
                          <w:p w:rsidR="005C0D40" w:rsidRPr="002B51BC" w:rsidRDefault="002B51BC" w:rsidP="005C0D40">
                            <w:pPr>
                              <w:rPr>
                                <w:sz w:val="19"/>
                                <w:szCs w:val="19"/>
                              </w:rPr>
                            </w:pPr>
                            <w:r>
                              <w:rPr>
                                <w:sz w:val="19"/>
                                <w:szCs w:val="19"/>
                              </w:rPr>
                              <w:t>Recommended regimen for combining acetaminophen +</w:t>
                            </w:r>
                            <w:r w:rsidR="005C0D40" w:rsidRPr="002B51BC">
                              <w:rPr>
                                <w:sz w:val="19"/>
                                <w:szCs w:val="19"/>
                              </w:rPr>
                              <w:t xml:space="preserve"> ibuprofen: preferred option</w:t>
                            </w:r>
                          </w:p>
                        </w:tc>
                      </w:tr>
                      <w:tr w:rsidR="005C0D40" w:rsidRPr="005C0D40" w:rsidTr="005C0D40">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1737" w:type="dxa"/>
                          </w:tcPr>
                          <w:p w:rsidR="005C0D40" w:rsidRPr="005C0D40" w:rsidRDefault="005C0D40" w:rsidP="005C0D40">
                            <w:pPr>
                              <w:rPr>
                                <w:b w:val="0"/>
                                <w:sz w:val="20"/>
                                <w:szCs w:val="20"/>
                              </w:rPr>
                            </w:pPr>
                            <w:r w:rsidRPr="005C0D40">
                              <w:rPr>
                                <w:b w:val="0"/>
                                <w:sz w:val="20"/>
                                <w:szCs w:val="20"/>
                              </w:rPr>
                              <w:t>Breakfast</w:t>
                            </w:r>
                          </w:p>
                        </w:tc>
                        <w:tc>
                          <w:tcPr>
                            <w:tcW w:w="1737" w:type="dxa"/>
                          </w:tcPr>
                          <w:p w:rsidR="005C0D40" w:rsidRPr="005C0D40" w:rsidRDefault="005C0D40" w:rsidP="005C0D40">
                            <w:pPr>
                              <w:cnfStyle w:val="000000100000" w:firstRow="0" w:lastRow="0" w:firstColumn="0" w:lastColumn="0" w:oddVBand="0" w:evenVBand="0" w:oddHBand="1" w:evenHBand="0" w:firstRowFirstColumn="0" w:firstRowLastColumn="0" w:lastRowFirstColumn="0" w:lastRowLastColumn="0"/>
                              <w:rPr>
                                <w:sz w:val="20"/>
                                <w:szCs w:val="20"/>
                              </w:rPr>
                            </w:pPr>
                            <w:r w:rsidRPr="005C0D40">
                              <w:rPr>
                                <w:sz w:val="20"/>
                                <w:szCs w:val="20"/>
                              </w:rPr>
                              <w:t>Lunch</w:t>
                            </w:r>
                          </w:p>
                        </w:tc>
                        <w:tc>
                          <w:tcPr>
                            <w:tcW w:w="1737" w:type="dxa"/>
                          </w:tcPr>
                          <w:p w:rsidR="005C0D40" w:rsidRPr="005C0D40" w:rsidRDefault="005C0D40" w:rsidP="005C0D40">
                            <w:pPr>
                              <w:cnfStyle w:val="000000100000" w:firstRow="0" w:lastRow="0" w:firstColumn="0" w:lastColumn="0" w:oddVBand="0" w:evenVBand="0" w:oddHBand="1" w:evenHBand="0" w:firstRowFirstColumn="0" w:firstRowLastColumn="0" w:lastRowFirstColumn="0" w:lastRowLastColumn="0"/>
                              <w:rPr>
                                <w:sz w:val="20"/>
                                <w:szCs w:val="20"/>
                              </w:rPr>
                            </w:pPr>
                            <w:r w:rsidRPr="005C0D40">
                              <w:rPr>
                                <w:sz w:val="20"/>
                                <w:szCs w:val="20"/>
                              </w:rPr>
                              <w:t>Dinner</w:t>
                            </w:r>
                          </w:p>
                        </w:tc>
                        <w:tc>
                          <w:tcPr>
                            <w:tcW w:w="1737" w:type="dxa"/>
                          </w:tcPr>
                          <w:p w:rsidR="005C0D40" w:rsidRPr="005C0D40" w:rsidRDefault="005C0D40" w:rsidP="005C0D40">
                            <w:pPr>
                              <w:cnfStyle w:val="000000100000" w:firstRow="0" w:lastRow="0" w:firstColumn="0" w:lastColumn="0" w:oddVBand="0" w:evenVBand="0" w:oddHBand="1" w:evenHBand="0" w:firstRowFirstColumn="0" w:firstRowLastColumn="0" w:lastRowFirstColumn="0" w:lastRowLastColumn="0"/>
                              <w:rPr>
                                <w:sz w:val="20"/>
                                <w:szCs w:val="20"/>
                              </w:rPr>
                            </w:pPr>
                            <w:r w:rsidRPr="005C0D40">
                              <w:rPr>
                                <w:sz w:val="20"/>
                                <w:szCs w:val="20"/>
                              </w:rPr>
                              <w:t>Before Bedtime</w:t>
                            </w:r>
                          </w:p>
                        </w:tc>
                      </w:tr>
                      <w:tr w:rsidR="005C0D40" w:rsidRPr="005C0D40" w:rsidTr="005C0D40">
                        <w:trPr>
                          <w:trHeight w:val="551"/>
                          <w:jc w:val="center"/>
                        </w:trPr>
                        <w:tc>
                          <w:tcPr>
                            <w:cnfStyle w:val="001000000000" w:firstRow="0" w:lastRow="0" w:firstColumn="1" w:lastColumn="0" w:oddVBand="0" w:evenVBand="0" w:oddHBand="0" w:evenHBand="0" w:firstRowFirstColumn="0" w:firstRowLastColumn="0" w:lastRowFirstColumn="0" w:lastRowLastColumn="0"/>
                            <w:tcW w:w="1737" w:type="dxa"/>
                          </w:tcPr>
                          <w:p w:rsidR="005C0D40" w:rsidRPr="005C0D40" w:rsidRDefault="005C0D40" w:rsidP="005C0D40">
                            <w:pPr>
                              <w:rPr>
                                <w:b w:val="0"/>
                                <w:sz w:val="20"/>
                                <w:szCs w:val="20"/>
                              </w:rPr>
                            </w:pPr>
                            <w:r w:rsidRPr="005C0D40">
                              <w:rPr>
                                <w:b w:val="0"/>
                                <w:sz w:val="20"/>
                                <w:szCs w:val="20"/>
                              </w:rPr>
                              <w:t>acetaminophen 1000mg</w:t>
                            </w:r>
                          </w:p>
                        </w:tc>
                        <w:tc>
                          <w:tcPr>
                            <w:tcW w:w="1737" w:type="dxa"/>
                          </w:tcPr>
                          <w:p w:rsidR="005C0D40" w:rsidRPr="005C0D40" w:rsidRDefault="005C0D40" w:rsidP="005C0D40">
                            <w:pPr>
                              <w:cnfStyle w:val="000000000000" w:firstRow="0" w:lastRow="0" w:firstColumn="0" w:lastColumn="0" w:oddVBand="0" w:evenVBand="0" w:oddHBand="0" w:evenHBand="0" w:firstRowFirstColumn="0" w:firstRowLastColumn="0" w:lastRowFirstColumn="0" w:lastRowLastColumn="0"/>
                              <w:rPr>
                                <w:sz w:val="20"/>
                                <w:szCs w:val="20"/>
                              </w:rPr>
                            </w:pPr>
                            <w:r w:rsidRPr="005C0D40">
                              <w:rPr>
                                <w:sz w:val="20"/>
                                <w:szCs w:val="20"/>
                              </w:rPr>
                              <w:t>acetaminophen 1000mg</w:t>
                            </w:r>
                          </w:p>
                        </w:tc>
                        <w:tc>
                          <w:tcPr>
                            <w:tcW w:w="1737" w:type="dxa"/>
                          </w:tcPr>
                          <w:p w:rsidR="005C0D40" w:rsidRPr="005C0D40" w:rsidRDefault="005C0D40" w:rsidP="005C0D40">
                            <w:pPr>
                              <w:cnfStyle w:val="000000000000" w:firstRow="0" w:lastRow="0" w:firstColumn="0" w:lastColumn="0" w:oddVBand="0" w:evenVBand="0" w:oddHBand="0" w:evenHBand="0" w:firstRowFirstColumn="0" w:firstRowLastColumn="0" w:lastRowFirstColumn="0" w:lastRowLastColumn="0"/>
                              <w:rPr>
                                <w:sz w:val="20"/>
                                <w:szCs w:val="20"/>
                              </w:rPr>
                            </w:pPr>
                            <w:r w:rsidRPr="005C0D40">
                              <w:rPr>
                                <w:sz w:val="20"/>
                                <w:szCs w:val="20"/>
                              </w:rPr>
                              <w:t>acetaminophen 1000mg</w:t>
                            </w:r>
                          </w:p>
                        </w:tc>
                        <w:tc>
                          <w:tcPr>
                            <w:tcW w:w="1737" w:type="dxa"/>
                          </w:tcPr>
                          <w:p w:rsidR="005C0D40" w:rsidRPr="005C0D40" w:rsidRDefault="005C0D40" w:rsidP="005C0D40">
                            <w:pPr>
                              <w:cnfStyle w:val="000000000000" w:firstRow="0" w:lastRow="0" w:firstColumn="0" w:lastColumn="0" w:oddVBand="0" w:evenVBand="0" w:oddHBand="0" w:evenHBand="0" w:firstRowFirstColumn="0" w:firstRowLastColumn="0" w:lastRowFirstColumn="0" w:lastRowLastColumn="0"/>
                              <w:rPr>
                                <w:sz w:val="20"/>
                                <w:szCs w:val="20"/>
                              </w:rPr>
                            </w:pPr>
                            <w:r w:rsidRPr="005C0D40">
                              <w:rPr>
                                <w:sz w:val="20"/>
                                <w:szCs w:val="20"/>
                              </w:rPr>
                              <w:t>acetaminophen 1000mg</w:t>
                            </w:r>
                          </w:p>
                        </w:tc>
                      </w:tr>
                      <w:tr w:rsidR="005C0D40" w:rsidRPr="005C0D40" w:rsidTr="005C0D40">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1737" w:type="dxa"/>
                          </w:tcPr>
                          <w:p w:rsidR="005C0D40" w:rsidRPr="005C0D40" w:rsidRDefault="005C0D40" w:rsidP="005C0D40">
                            <w:pPr>
                              <w:rPr>
                                <w:b w:val="0"/>
                                <w:sz w:val="20"/>
                                <w:szCs w:val="20"/>
                              </w:rPr>
                            </w:pPr>
                            <w:r w:rsidRPr="005C0D40">
                              <w:rPr>
                                <w:b w:val="0"/>
                                <w:sz w:val="20"/>
                                <w:szCs w:val="20"/>
                              </w:rPr>
                              <w:t>ibuprofen 400mg to 600mg</w:t>
                            </w:r>
                          </w:p>
                        </w:tc>
                        <w:tc>
                          <w:tcPr>
                            <w:tcW w:w="1737" w:type="dxa"/>
                          </w:tcPr>
                          <w:p w:rsidR="005C0D40" w:rsidRPr="005C0D40" w:rsidRDefault="005C0D40" w:rsidP="005C0D40">
                            <w:pPr>
                              <w:cnfStyle w:val="000000100000" w:firstRow="0" w:lastRow="0" w:firstColumn="0" w:lastColumn="0" w:oddVBand="0" w:evenVBand="0" w:oddHBand="1" w:evenHBand="0" w:firstRowFirstColumn="0" w:firstRowLastColumn="0" w:lastRowFirstColumn="0" w:lastRowLastColumn="0"/>
                              <w:rPr>
                                <w:sz w:val="20"/>
                                <w:szCs w:val="20"/>
                              </w:rPr>
                            </w:pPr>
                            <w:r w:rsidRPr="005C0D40">
                              <w:rPr>
                                <w:sz w:val="20"/>
                                <w:szCs w:val="20"/>
                              </w:rPr>
                              <w:t>ibuprofen 400mg to 600mg</w:t>
                            </w:r>
                          </w:p>
                        </w:tc>
                        <w:tc>
                          <w:tcPr>
                            <w:tcW w:w="1737" w:type="dxa"/>
                          </w:tcPr>
                          <w:p w:rsidR="005C0D40" w:rsidRPr="005C0D40" w:rsidRDefault="005C0D40" w:rsidP="005C0D40">
                            <w:pPr>
                              <w:cnfStyle w:val="000000100000" w:firstRow="0" w:lastRow="0" w:firstColumn="0" w:lastColumn="0" w:oddVBand="0" w:evenVBand="0" w:oddHBand="1" w:evenHBand="0" w:firstRowFirstColumn="0" w:firstRowLastColumn="0" w:lastRowFirstColumn="0" w:lastRowLastColumn="0"/>
                              <w:rPr>
                                <w:sz w:val="20"/>
                                <w:szCs w:val="20"/>
                              </w:rPr>
                            </w:pPr>
                            <w:r w:rsidRPr="005C0D40">
                              <w:rPr>
                                <w:sz w:val="20"/>
                                <w:szCs w:val="20"/>
                              </w:rPr>
                              <w:t>ibuprofen 400mg to 600mg</w:t>
                            </w:r>
                          </w:p>
                        </w:tc>
                        <w:tc>
                          <w:tcPr>
                            <w:tcW w:w="1737" w:type="dxa"/>
                          </w:tcPr>
                          <w:p w:rsidR="005C0D40" w:rsidRPr="005C0D40" w:rsidRDefault="005C0D40" w:rsidP="005C0D40">
                            <w:pPr>
                              <w:cnfStyle w:val="000000100000" w:firstRow="0" w:lastRow="0" w:firstColumn="0" w:lastColumn="0" w:oddVBand="0" w:evenVBand="0" w:oddHBand="1" w:evenHBand="0" w:firstRowFirstColumn="0" w:firstRowLastColumn="0" w:lastRowFirstColumn="0" w:lastRowLastColumn="0"/>
                              <w:rPr>
                                <w:sz w:val="20"/>
                                <w:szCs w:val="20"/>
                              </w:rPr>
                            </w:pPr>
                            <w:r w:rsidRPr="005C0D40">
                              <w:rPr>
                                <w:sz w:val="20"/>
                                <w:szCs w:val="20"/>
                              </w:rPr>
                              <w:t>ibuprofen 400mg to 600mg</w:t>
                            </w:r>
                          </w:p>
                        </w:tc>
                      </w:tr>
                      <w:tr w:rsidR="005C0D40" w:rsidRPr="005C0D40" w:rsidTr="005C0D40">
                        <w:trPr>
                          <w:trHeight w:val="762"/>
                          <w:jc w:val="center"/>
                        </w:trPr>
                        <w:tc>
                          <w:tcPr>
                            <w:cnfStyle w:val="001000000000" w:firstRow="0" w:lastRow="0" w:firstColumn="1" w:lastColumn="0" w:oddVBand="0" w:evenVBand="0" w:oddHBand="0" w:evenHBand="0" w:firstRowFirstColumn="0" w:firstRowLastColumn="0" w:lastRowFirstColumn="0" w:lastRowLastColumn="0"/>
                            <w:tcW w:w="6949" w:type="dxa"/>
                            <w:gridSpan w:val="4"/>
                          </w:tcPr>
                          <w:p w:rsidR="005C0D40" w:rsidRPr="005C0D40" w:rsidRDefault="005C0D40" w:rsidP="005C0D40">
                            <w:pPr>
                              <w:rPr>
                                <w:b w:val="0"/>
                                <w:sz w:val="20"/>
                                <w:szCs w:val="20"/>
                              </w:rPr>
                            </w:pPr>
                            <w:r w:rsidRPr="005C0D40">
                              <w:rPr>
                                <w:b w:val="0"/>
                                <w:sz w:val="20"/>
                                <w:szCs w:val="20"/>
                              </w:rPr>
                              <w:t xml:space="preserve">Or the alternative is to stagger the doses of acetaminophen and ibuprofen over 24 hours.    If this regimen is used, ensure that ibuprofen is taken with food.  Acetaminophen is taken every 4-6 hours, and ibuprofen is taken every 6-8 hours.  </w:t>
                            </w:r>
                          </w:p>
                        </w:tc>
                      </w:tr>
                    </w:tbl>
                    <w:p w:rsidR="005C0D40" w:rsidRPr="005C0D40" w:rsidRDefault="005C0D40" w:rsidP="005C0D40">
                      <w:pPr>
                        <w:spacing w:after="0" w:line="240" w:lineRule="auto"/>
                        <w:rPr>
                          <w:sz w:val="20"/>
                          <w:szCs w:val="20"/>
                        </w:rPr>
                      </w:pPr>
                    </w:p>
                    <w:p w:rsidR="005C0D40" w:rsidRPr="005C0D40" w:rsidRDefault="005C0D40" w:rsidP="005C0D40">
                      <w:pPr>
                        <w:pStyle w:val="ListParagraph"/>
                        <w:numPr>
                          <w:ilvl w:val="0"/>
                          <w:numId w:val="10"/>
                        </w:numPr>
                        <w:spacing w:after="0" w:line="240" w:lineRule="auto"/>
                        <w:rPr>
                          <w:sz w:val="20"/>
                          <w:szCs w:val="20"/>
                        </w:rPr>
                      </w:pPr>
                      <w:r w:rsidRPr="005C0D40">
                        <w:rPr>
                          <w:sz w:val="20"/>
                          <w:szCs w:val="20"/>
                        </w:rPr>
                        <w:t>Do not exceed recommended maximum doses:</w:t>
                      </w:r>
                    </w:p>
                    <w:p w:rsidR="005C0D40" w:rsidRPr="005C0D40" w:rsidRDefault="005C0D40" w:rsidP="005C0D40">
                      <w:pPr>
                        <w:pStyle w:val="ListParagraph"/>
                        <w:numPr>
                          <w:ilvl w:val="0"/>
                          <w:numId w:val="11"/>
                        </w:numPr>
                        <w:spacing w:after="0" w:line="240" w:lineRule="auto"/>
                        <w:rPr>
                          <w:sz w:val="20"/>
                          <w:szCs w:val="20"/>
                        </w:rPr>
                      </w:pPr>
                      <w:r w:rsidRPr="005C0D40">
                        <w:rPr>
                          <w:sz w:val="20"/>
                          <w:szCs w:val="20"/>
                        </w:rPr>
                        <w:t>4000mg acetaminophen in a 24 hour  period</w:t>
                      </w:r>
                    </w:p>
                    <w:p w:rsidR="005C0D40" w:rsidRPr="005C0D40" w:rsidRDefault="005C0D40" w:rsidP="005C0D40">
                      <w:pPr>
                        <w:pStyle w:val="ListParagraph"/>
                        <w:numPr>
                          <w:ilvl w:val="0"/>
                          <w:numId w:val="11"/>
                        </w:numPr>
                        <w:spacing w:after="0" w:line="240" w:lineRule="auto"/>
                        <w:rPr>
                          <w:sz w:val="20"/>
                          <w:szCs w:val="20"/>
                        </w:rPr>
                      </w:pPr>
                      <w:r w:rsidRPr="005C0D40">
                        <w:rPr>
                          <w:sz w:val="20"/>
                          <w:szCs w:val="20"/>
                        </w:rPr>
                        <w:t xml:space="preserve">2400mg ibuprofen in a 24 hour period (in some instances, 3200mg ibuprofen/day) </w:t>
                      </w:r>
                    </w:p>
                    <w:p w:rsidR="005C0D40" w:rsidRPr="005C0D40" w:rsidRDefault="005C0D40" w:rsidP="005C0D40">
                      <w:pPr>
                        <w:pStyle w:val="ListParagraph"/>
                        <w:numPr>
                          <w:ilvl w:val="0"/>
                          <w:numId w:val="12"/>
                        </w:numPr>
                        <w:spacing w:after="0" w:line="240" w:lineRule="auto"/>
                        <w:rPr>
                          <w:sz w:val="20"/>
                          <w:szCs w:val="20"/>
                        </w:rPr>
                      </w:pPr>
                      <w:r w:rsidRPr="005C0D40">
                        <w:rPr>
                          <w:sz w:val="20"/>
                          <w:szCs w:val="20"/>
                        </w:rPr>
                        <w:t>Before taking pain medications, always tell your dentist or pharmacist what you are already taking or normally take for pain, including any prescribed or over-the-counter remedies.</w:t>
                      </w:r>
                    </w:p>
                    <w:p w:rsidR="005C0D40" w:rsidRPr="005C0D40" w:rsidRDefault="005C0D40" w:rsidP="005C0D40">
                      <w:pPr>
                        <w:pStyle w:val="ListParagraph"/>
                        <w:numPr>
                          <w:ilvl w:val="0"/>
                          <w:numId w:val="12"/>
                        </w:numPr>
                        <w:spacing w:after="0" w:line="240" w:lineRule="auto"/>
                        <w:rPr>
                          <w:sz w:val="20"/>
                          <w:szCs w:val="20"/>
                        </w:rPr>
                      </w:pPr>
                      <w:r w:rsidRPr="005C0D40">
                        <w:rPr>
                          <w:sz w:val="20"/>
                          <w:szCs w:val="20"/>
                        </w:rPr>
                        <w:t>Ibuprofen should be taken with food.  Acetaminophen can be taken with or without food.</w:t>
                      </w:r>
                    </w:p>
                    <w:p w:rsidR="005C0D40" w:rsidRPr="005C0D40" w:rsidRDefault="005C0D40" w:rsidP="005C0D40">
                      <w:pPr>
                        <w:pStyle w:val="ListParagraph"/>
                        <w:spacing w:after="0" w:line="240" w:lineRule="auto"/>
                        <w:rPr>
                          <w:sz w:val="20"/>
                          <w:szCs w:val="20"/>
                        </w:rPr>
                      </w:pPr>
                    </w:p>
                    <w:p w:rsidR="005C0D40" w:rsidRPr="005C0D40" w:rsidRDefault="005C0D40" w:rsidP="005C0D40">
                      <w:pPr>
                        <w:spacing w:after="0" w:line="240" w:lineRule="auto"/>
                        <w:rPr>
                          <w:sz w:val="18"/>
                          <w:szCs w:val="18"/>
                        </w:rPr>
                      </w:pPr>
                      <w:r w:rsidRPr="005C0D40">
                        <w:rPr>
                          <w:sz w:val="18"/>
                          <w:szCs w:val="18"/>
                        </w:rPr>
                        <w:t>Additional prescribing precautions for ibuprofen and acetaminophen:</w:t>
                      </w:r>
                    </w:p>
                    <w:p w:rsidR="005C0D40" w:rsidRPr="005C0D40" w:rsidRDefault="005C0D40" w:rsidP="005C0D40">
                      <w:pPr>
                        <w:pStyle w:val="ListParagraph"/>
                        <w:numPr>
                          <w:ilvl w:val="0"/>
                          <w:numId w:val="12"/>
                        </w:numPr>
                        <w:spacing w:after="0" w:line="240" w:lineRule="auto"/>
                        <w:rPr>
                          <w:sz w:val="18"/>
                          <w:szCs w:val="18"/>
                        </w:rPr>
                      </w:pPr>
                      <w:r w:rsidRPr="005C0D40">
                        <w:rPr>
                          <w:sz w:val="18"/>
                          <w:szCs w:val="18"/>
                        </w:rPr>
                        <w:t xml:space="preserve">Avoid ibuprofen in patients: with a hypersensitivity to aspirin or any other nonsteroidal anti-inflammatory drugs (NSAID) including those who have experienced attacks of asthma (difficulty breathing), angioedema (acute swelling allergic reaction), urticaria (hives) or rhinitis (runny or itchy nose) precipitated by aspirin or another NSAID; with active peptic ulcer disease or history of NSAID-associated ulcer disease; in the third trimester of pregnancy; with severe heart failure; taking any other NSAID painkillers. </w:t>
                      </w:r>
                    </w:p>
                    <w:p w:rsidR="005C0D40" w:rsidRPr="005C0D40" w:rsidRDefault="005C0D40" w:rsidP="005C0D40">
                      <w:pPr>
                        <w:pStyle w:val="ListParagraph"/>
                        <w:numPr>
                          <w:ilvl w:val="0"/>
                          <w:numId w:val="12"/>
                        </w:numPr>
                        <w:spacing w:after="0" w:line="240" w:lineRule="auto"/>
                        <w:rPr>
                          <w:sz w:val="18"/>
                          <w:szCs w:val="18"/>
                        </w:rPr>
                      </w:pPr>
                      <w:r w:rsidRPr="005C0D40">
                        <w:rPr>
                          <w:sz w:val="18"/>
                          <w:szCs w:val="18"/>
                        </w:rPr>
                        <w:t xml:space="preserve"> Use ibuprofen with caution in patients: with a history of asthma or other allergic disease, bowel problems, ulcerative colitis, Crohn’s disease or connective tissue disorders; patients with severe renal, cardiac or hepatic impairment; who are elderly; with uncontrolled hypertension; with coagulation defects or inherited bleeding disorders; in the first 6 months of pregnancy; who are breastfeeding; taking the following medicines:  anticoagulants, antihypertensives, methotrexate, antidepressants, antianxiety medications, select serotonin reuptake inhibitors (SSRIs), lithium or antiplatelet agents.</w:t>
                      </w:r>
                    </w:p>
                    <w:p w:rsidR="005C0D40" w:rsidRPr="005C0D40" w:rsidRDefault="005C0D40" w:rsidP="005C0D40">
                      <w:pPr>
                        <w:pStyle w:val="ListParagraph"/>
                        <w:numPr>
                          <w:ilvl w:val="0"/>
                          <w:numId w:val="12"/>
                        </w:numPr>
                        <w:spacing w:after="0" w:line="240" w:lineRule="auto"/>
                        <w:rPr>
                          <w:sz w:val="18"/>
                          <w:szCs w:val="18"/>
                        </w:rPr>
                      </w:pPr>
                      <w:r w:rsidRPr="005C0D40">
                        <w:rPr>
                          <w:sz w:val="18"/>
                          <w:szCs w:val="18"/>
                        </w:rPr>
                        <w:t xml:space="preserve">Avoid acetaminophen in patients with hypersensitivity to acetaminophen or any of the preparation excipients.                         </w:t>
                      </w:r>
                    </w:p>
                    <w:p w:rsidR="005C0D40" w:rsidRPr="005C0D40" w:rsidRDefault="005C0D40" w:rsidP="005C0D40">
                      <w:pPr>
                        <w:pStyle w:val="ListParagraph"/>
                        <w:numPr>
                          <w:ilvl w:val="0"/>
                          <w:numId w:val="12"/>
                        </w:numPr>
                        <w:spacing w:after="0" w:line="240" w:lineRule="auto"/>
                        <w:rPr>
                          <w:sz w:val="18"/>
                          <w:szCs w:val="18"/>
                        </w:rPr>
                      </w:pPr>
                      <w:r w:rsidRPr="005C0D40">
                        <w:rPr>
                          <w:sz w:val="18"/>
                          <w:szCs w:val="18"/>
                        </w:rPr>
                        <w:t>Use acetaminophen in caution in patients with severe hepatic or renal impairment.</w:t>
                      </w:r>
                    </w:p>
                    <w:p w:rsidR="005C0D40" w:rsidRDefault="005C0D40"/>
                    <w:p w:rsidR="005C0D40" w:rsidRDefault="005C0D40"/>
                  </w:txbxContent>
                </v:textbox>
              </v:shape>
            </w:pict>
          </mc:Fallback>
        </mc:AlternateContent>
      </w:r>
    </w:p>
    <w:p w:rsidR="00BC4EC4" w:rsidRDefault="00BC4EC4" w:rsidP="00587856">
      <w:pPr>
        <w:jc w:val="center"/>
      </w:pPr>
    </w:p>
    <w:p w:rsidR="00D5240A" w:rsidRDefault="00D5240A"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587856">
      <w:pPr>
        <w:jc w:val="center"/>
      </w:pPr>
    </w:p>
    <w:p w:rsidR="002B51BC" w:rsidRDefault="002B51BC" w:rsidP="00B6024B"/>
    <w:p w:rsidR="00B6024B" w:rsidRPr="00B6024B" w:rsidRDefault="00B6024B" w:rsidP="00B6024B">
      <w:pPr>
        <w:spacing w:after="0" w:line="240" w:lineRule="auto"/>
        <w:rPr>
          <w:b/>
        </w:rPr>
      </w:pPr>
    </w:p>
    <w:tbl>
      <w:tblPr>
        <w:tblStyle w:val="TableGrid1"/>
        <w:tblpPr w:leftFromText="180" w:rightFromText="180" w:vertAnchor="text" w:horzAnchor="page" w:tblpX="754" w:tblpY="885"/>
        <w:tblW w:w="0" w:type="auto"/>
        <w:tblLook w:val="04A0" w:firstRow="1" w:lastRow="0" w:firstColumn="1" w:lastColumn="0" w:noHBand="0" w:noVBand="1"/>
      </w:tblPr>
      <w:tblGrid>
        <w:gridCol w:w="6264"/>
      </w:tblGrid>
      <w:tr w:rsidR="00F3744E" w:rsidRPr="00B6024B" w:rsidTr="002B39D4">
        <w:tc>
          <w:tcPr>
            <w:tcW w:w="6264" w:type="dxa"/>
            <w:shd w:val="clear" w:color="auto" w:fill="00B0F0"/>
          </w:tcPr>
          <w:p w:rsidR="00F3744E" w:rsidRPr="00B6024B" w:rsidRDefault="00F3744E" w:rsidP="002B39D4">
            <w:pPr>
              <w:jc w:val="center"/>
              <w:rPr>
                <w:b/>
                <w:sz w:val="28"/>
                <w:szCs w:val="28"/>
              </w:rPr>
            </w:pPr>
            <w:r w:rsidRPr="00B6024B">
              <w:rPr>
                <w:b/>
                <w:color w:val="FFFFFF" w:themeColor="background1"/>
                <w:sz w:val="28"/>
                <w:szCs w:val="28"/>
              </w:rPr>
              <w:t>PROPHYLAXIS REGIMENS</w:t>
            </w:r>
          </w:p>
        </w:tc>
      </w:tr>
    </w:tbl>
    <w:p w:rsidR="00B6024B" w:rsidRDefault="00F3744E" w:rsidP="00B6024B">
      <w:r>
        <w:tab/>
      </w:r>
      <w:r>
        <w:tab/>
      </w:r>
      <w:r>
        <w:tab/>
      </w:r>
      <w:r>
        <w:tab/>
      </w:r>
      <w:r>
        <w:tab/>
      </w:r>
      <w:r>
        <w:tab/>
      </w:r>
      <w:r>
        <w:tab/>
      </w:r>
      <w:r>
        <w:tab/>
      </w:r>
      <w:r>
        <w:tab/>
      </w:r>
      <w:r>
        <w:tab/>
      </w:r>
      <w:r>
        <w:tab/>
      </w:r>
    </w:p>
    <w:p w:rsidR="00F3744E" w:rsidRDefault="00F3744E" w:rsidP="00B6024B"/>
    <w:tbl>
      <w:tblPr>
        <w:tblStyle w:val="TableGrid1"/>
        <w:tblpPr w:leftFromText="180" w:rightFromText="180" w:vertAnchor="page" w:horzAnchor="page" w:tblpX="643" w:tblpY="1996"/>
        <w:tblW w:w="0" w:type="auto"/>
        <w:tblLook w:val="04A0" w:firstRow="1" w:lastRow="0" w:firstColumn="1" w:lastColumn="0" w:noHBand="0" w:noVBand="1"/>
      </w:tblPr>
      <w:tblGrid>
        <w:gridCol w:w="6336"/>
      </w:tblGrid>
      <w:tr w:rsidR="002B39D4" w:rsidRPr="00B6024B" w:rsidTr="002B39D4">
        <w:tc>
          <w:tcPr>
            <w:tcW w:w="6336" w:type="dxa"/>
            <w:shd w:val="clear" w:color="auto" w:fill="00B0F0"/>
          </w:tcPr>
          <w:p w:rsidR="002B39D4" w:rsidRPr="00B6024B" w:rsidRDefault="002B39D4" w:rsidP="002B39D4">
            <w:pPr>
              <w:rPr>
                <w:sz w:val="24"/>
                <w:szCs w:val="24"/>
                <w:vertAlign w:val="superscript"/>
              </w:rPr>
            </w:pPr>
            <w:r w:rsidRPr="00B6024B">
              <w:rPr>
                <w:b/>
                <w:color w:val="FFFFFF" w:themeColor="background1"/>
                <w:sz w:val="24"/>
                <w:szCs w:val="24"/>
              </w:rPr>
              <w:t>#1) Prophylaxis to prevent surgical site infections:</w:t>
            </w:r>
            <w:r w:rsidRPr="00B6024B">
              <w:rPr>
                <w:color w:val="FFFFFF" w:themeColor="background1"/>
                <w:sz w:val="24"/>
                <w:szCs w:val="24"/>
                <w:vertAlign w:val="superscript"/>
              </w:rPr>
              <w:t>5</w:t>
            </w:r>
          </w:p>
        </w:tc>
      </w:tr>
      <w:tr w:rsidR="002B39D4" w:rsidRPr="00B6024B" w:rsidTr="002B39D4">
        <w:tc>
          <w:tcPr>
            <w:tcW w:w="6336" w:type="dxa"/>
            <w:shd w:val="clear" w:color="auto" w:fill="BFBFBF" w:themeFill="background1" w:themeFillShade="BF"/>
          </w:tcPr>
          <w:p w:rsidR="002B39D4" w:rsidRPr="00B6024B" w:rsidRDefault="002B39D4" w:rsidP="002B39D4">
            <w:pPr>
              <w:rPr>
                <w:b/>
              </w:rPr>
            </w:pPr>
            <w:r w:rsidRPr="00B6024B">
              <w:rPr>
                <w:b/>
              </w:rPr>
              <w:t xml:space="preserve">Management/Treatment </w:t>
            </w:r>
          </w:p>
        </w:tc>
      </w:tr>
      <w:tr w:rsidR="002B39D4" w:rsidRPr="00B6024B" w:rsidTr="002B39D4">
        <w:tc>
          <w:tcPr>
            <w:tcW w:w="6336" w:type="dxa"/>
          </w:tcPr>
          <w:p w:rsidR="002B39D4" w:rsidRPr="00B6024B" w:rsidRDefault="002B39D4" w:rsidP="002B39D4">
            <w:pPr>
              <w:rPr>
                <w:sz w:val="21"/>
                <w:szCs w:val="21"/>
              </w:rPr>
            </w:pPr>
            <w:r w:rsidRPr="00B6024B">
              <w:rPr>
                <w:sz w:val="21"/>
                <w:szCs w:val="21"/>
              </w:rPr>
              <w:t xml:space="preserve">In general, literature does not support the use of antibiotics prophylactically to prevent local infections in tissues proximal/adjacent to a surgical or dental procedural site, such as a dental extraction, endodontic procedure or an implant placement. </w:t>
            </w:r>
            <w:r w:rsidRPr="00B6024B">
              <w:rPr>
                <w:color w:val="FF0000"/>
                <w:sz w:val="21"/>
                <w:szCs w:val="21"/>
              </w:rPr>
              <w:t xml:space="preserve"> </w:t>
            </w:r>
            <w:r w:rsidRPr="00B6024B">
              <w:rPr>
                <w:sz w:val="21"/>
                <w:szCs w:val="21"/>
              </w:rPr>
              <w:t xml:space="preserve">An exception may be the surgical extraction of third molars, especially in situations where there is pericoronitis.  The clinician is encouraged to use their clinical judgement to evaluate the patient’s health and the extent of the procedure relative to antibiotic use in such situations.  The prophylactic effect of antibiotics occurs within the </w:t>
            </w:r>
            <w:r w:rsidRPr="00B6024B">
              <w:rPr>
                <w:b/>
                <w:sz w:val="21"/>
                <w:szCs w:val="21"/>
              </w:rPr>
              <w:t>first one or two doses</w:t>
            </w:r>
            <w:r w:rsidRPr="00B6024B">
              <w:rPr>
                <w:sz w:val="21"/>
                <w:szCs w:val="21"/>
              </w:rPr>
              <w:t xml:space="preserve"> and antibiotic use </w:t>
            </w:r>
            <w:r w:rsidRPr="00B6024B">
              <w:rPr>
                <w:b/>
                <w:sz w:val="21"/>
                <w:szCs w:val="21"/>
              </w:rPr>
              <w:t>may be of</w:t>
            </w:r>
            <w:r w:rsidRPr="00B6024B">
              <w:rPr>
                <w:sz w:val="21"/>
                <w:szCs w:val="21"/>
              </w:rPr>
              <w:t xml:space="preserve"> </w:t>
            </w:r>
            <w:r w:rsidRPr="00B6024B">
              <w:rPr>
                <w:b/>
                <w:sz w:val="21"/>
                <w:szCs w:val="21"/>
              </w:rPr>
              <w:t>detriment if continued for the next 3-7 days</w:t>
            </w:r>
            <w:r w:rsidRPr="00B6024B">
              <w:rPr>
                <w:sz w:val="21"/>
                <w:szCs w:val="21"/>
              </w:rPr>
              <w:t>, especially if there are no signs of infection at the surgical site.  Best practices and responsible antibiotic stewardship suggests antibiotics should be reserved to manage an infection if it occurs, rather than used in hopes of preventing the infrequent infections that may be associated with such procedures in healthy immunocompetent patients.</w:t>
            </w:r>
          </w:p>
        </w:tc>
      </w:tr>
      <w:tr w:rsidR="002B39D4" w:rsidRPr="00B6024B" w:rsidTr="002B39D4">
        <w:tc>
          <w:tcPr>
            <w:tcW w:w="6336" w:type="dxa"/>
            <w:shd w:val="clear" w:color="auto" w:fill="00B0F0"/>
          </w:tcPr>
          <w:p w:rsidR="002B39D4" w:rsidRPr="00B6024B" w:rsidRDefault="002B39D4" w:rsidP="002B39D4">
            <w:pPr>
              <w:rPr>
                <w:b/>
                <w:color w:val="FFFFFF" w:themeColor="background1"/>
                <w:sz w:val="24"/>
                <w:szCs w:val="24"/>
              </w:rPr>
            </w:pPr>
            <w:r w:rsidRPr="00B6024B">
              <w:rPr>
                <w:b/>
                <w:color w:val="FFFFFF" w:themeColor="background1"/>
                <w:sz w:val="24"/>
                <w:szCs w:val="24"/>
              </w:rPr>
              <w:t>#2) Prophylaxis to prevent infectious endocarditis:</w:t>
            </w:r>
            <w:r w:rsidRPr="00B6024B">
              <w:rPr>
                <w:color w:val="FFFFFF" w:themeColor="background1"/>
                <w:sz w:val="24"/>
                <w:szCs w:val="24"/>
                <w:vertAlign w:val="superscript"/>
              </w:rPr>
              <w:t>5,12-14</w:t>
            </w:r>
          </w:p>
        </w:tc>
      </w:tr>
      <w:tr w:rsidR="002B39D4" w:rsidRPr="00B6024B" w:rsidTr="002B39D4">
        <w:tc>
          <w:tcPr>
            <w:tcW w:w="6336" w:type="dxa"/>
            <w:shd w:val="clear" w:color="auto" w:fill="BFBFBF" w:themeFill="background1" w:themeFillShade="BF"/>
          </w:tcPr>
          <w:p w:rsidR="002B39D4" w:rsidRPr="00B6024B" w:rsidRDefault="002B39D4" w:rsidP="002B39D4">
            <w:pPr>
              <w:rPr>
                <w:b/>
              </w:rPr>
            </w:pPr>
            <w:r w:rsidRPr="00B6024B">
              <w:rPr>
                <w:b/>
              </w:rPr>
              <w:t>Background</w:t>
            </w:r>
          </w:p>
        </w:tc>
      </w:tr>
      <w:tr w:rsidR="002B39D4" w:rsidRPr="00B6024B" w:rsidTr="002B39D4">
        <w:tc>
          <w:tcPr>
            <w:tcW w:w="6336" w:type="dxa"/>
          </w:tcPr>
          <w:p w:rsidR="002B39D4" w:rsidRPr="00B6024B" w:rsidRDefault="002B39D4" w:rsidP="002B39D4">
            <w:pPr>
              <w:rPr>
                <w:sz w:val="21"/>
                <w:szCs w:val="21"/>
              </w:rPr>
            </w:pPr>
            <w:r w:rsidRPr="00B6024B">
              <w:rPr>
                <w:sz w:val="21"/>
                <w:szCs w:val="21"/>
              </w:rPr>
              <w:t xml:space="preserve">Infectious endocarditis (IE) is more likely to result from exposure to bacteremia associated with daily activities (i.e. chewing, brushing teeth) than from a dental procedure.  </w:t>
            </w:r>
          </w:p>
          <w:p w:rsidR="002B39D4" w:rsidRPr="00B6024B" w:rsidRDefault="002B39D4" w:rsidP="002B39D4">
            <w:pPr>
              <w:rPr>
                <w:b/>
                <w:sz w:val="21"/>
                <w:szCs w:val="21"/>
              </w:rPr>
            </w:pPr>
            <w:r w:rsidRPr="00B6024B">
              <w:rPr>
                <w:sz w:val="21"/>
                <w:szCs w:val="21"/>
              </w:rPr>
              <w:t xml:space="preserve">Antibiotic prophylaxis (AP) may be prevented in a small number of IE </w:t>
            </w:r>
            <w:proofErr w:type="gramStart"/>
            <w:r w:rsidRPr="00B6024B">
              <w:rPr>
                <w:sz w:val="21"/>
                <w:szCs w:val="21"/>
              </w:rPr>
              <w:t>cases,</w:t>
            </w:r>
            <w:proofErr w:type="gramEnd"/>
            <w:r w:rsidRPr="00B6024B">
              <w:rPr>
                <w:sz w:val="21"/>
                <w:szCs w:val="21"/>
              </w:rPr>
              <w:t xml:space="preserve"> however the risk of antibiotic associated adverse drug reactions exceeds any expected benefit.  </w:t>
            </w:r>
          </w:p>
        </w:tc>
      </w:tr>
      <w:tr w:rsidR="002B39D4" w:rsidRPr="00B6024B" w:rsidTr="002B39D4">
        <w:tc>
          <w:tcPr>
            <w:tcW w:w="6336" w:type="dxa"/>
            <w:shd w:val="clear" w:color="auto" w:fill="BFBFBF" w:themeFill="background1" w:themeFillShade="BF"/>
          </w:tcPr>
          <w:p w:rsidR="002B39D4" w:rsidRPr="00B6024B" w:rsidRDefault="002B39D4" w:rsidP="002B39D4">
            <w:pPr>
              <w:rPr>
                <w:b/>
              </w:rPr>
            </w:pPr>
            <w:r w:rsidRPr="00B6024B">
              <w:rPr>
                <w:b/>
              </w:rPr>
              <w:t>Management</w:t>
            </w:r>
          </w:p>
        </w:tc>
      </w:tr>
      <w:tr w:rsidR="002B39D4" w:rsidRPr="00B6024B" w:rsidTr="002B39D4">
        <w:tc>
          <w:tcPr>
            <w:tcW w:w="6336" w:type="dxa"/>
          </w:tcPr>
          <w:p w:rsidR="002B39D4" w:rsidRPr="00B6024B" w:rsidRDefault="002B39D4" w:rsidP="002B39D4">
            <w:pPr>
              <w:rPr>
                <w:sz w:val="21"/>
                <w:szCs w:val="21"/>
              </w:rPr>
            </w:pPr>
            <w:r w:rsidRPr="00B6024B">
              <w:rPr>
                <w:sz w:val="21"/>
                <w:szCs w:val="21"/>
              </w:rPr>
              <w:t xml:space="preserve">Selection of appropriate patient need, antibiotic type and dosage is critical. The American Heart Association (AHA) 2007 guidelines recommend AP when dental treatment involves manipulation of gingival tissue, manipulation of the periapical region of teeth, or perforation of the oral mucosa, and only for highest risk patients. </w:t>
            </w:r>
          </w:p>
          <w:p w:rsidR="002B39D4" w:rsidRPr="00B6024B" w:rsidRDefault="002B39D4" w:rsidP="002B39D4">
            <w:pPr>
              <w:rPr>
                <w:sz w:val="21"/>
                <w:szCs w:val="21"/>
              </w:rPr>
            </w:pPr>
            <w:r w:rsidRPr="00B6024B">
              <w:rPr>
                <w:sz w:val="21"/>
                <w:szCs w:val="21"/>
              </w:rPr>
              <w:t>Indications for AP to prevent IE prior to dental procedures include the following patients with highest cardiac risk factors for IE:</w:t>
            </w:r>
          </w:p>
        </w:tc>
      </w:tr>
    </w:tbl>
    <w:p w:rsidR="00F3744E" w:rsidRDefault="00F3744E" w:rsidP="00B6024B"/>
    <w:p w:rsidR="00F3744E" w:rsidRDefault="00F3744E" w:rsidP="00B6024B"/>
    <w:p w:rsidR="00F3744E" w:rsidRDefault="00F3744E" w:rsidP="00B6024B"/>
    <w:p w:rsidR="00F3744E" w:rsidRDefault="00F3744E" w:rsidP="00B6024B"/>
    <w:p w:rsidR="00F3744E" w:rsidRDefault="00F3744E" w:rsidP="00B6024B"/>
    <w:p w:rsidR="00F3744E" w:rsidRDefault="00F3744E" w:rsidP="00B6024B"/>
    <w:p w:rsidR="00F3744E" w:rsidRDefault="00F3744E" w:rsidP="00B6024B"/>
    <w:p w:rsidR="00F3744E" w:rsidRDefault="00F3744E" w:rsidP="00B6024B"/>
    <w:p w:rsidR="00F3744E" w:rsidRDefault="00F3744E" w:rsidP="00B6024B"/>
    <w:p w:rsidR="00F3744E" w:rsidRDefault="00F3744E" w:rsidP="00B6024B"/>
    <w:p w:rsidR="00F3744E" w:rsidRDefault="00F3744E" w:rsidP="00B6024B"/>
    <w:p w:rsidR="00F3744E" w:rsidRDefault="00F3744E" w:rsidP="00B6024B"/>
    <w:p w:rsidR="00F3744E" w:rsidRDefault="00F3744E" w:rsidP="00B6024B"/>
    <w:p w:rsidR="00F3744E" w:rsidRDefault="00F3744E" w:rsidP="00B6024B"/>
    <w:p w:rsidR="00F3744E" w:rsidRDefault="00F3744E" w:rsidP="00B6024B"/>
    <w:p w:rsidR="00F3744E" w:rsidRDefault="00F3744E" w:rsidP="00B6024B"/>
    <w:p w:rsidR="00F3744E" w:rsidRDefault="00F3744E" w:rsidP="00B6024B"/>
    <w:p w:rsidR="00F3744E" w:rsidRDefault="00F3744E" w:rsidP="00B6024B"/>
    <w:p w:rsidR="00F3744E" w:rsidRDefault="00F3744E" w:rsidP="00B6024B"/>
    <w:p w:rsidR="00F3744E" w:rsidRDefault="00F3744E" w:rsidP="00B6024B"/>
    <w:p w:rsidR="00F3744E" w:rsidRDefault="00F3744E" w:rsidP="00F3744E">
      <w:pPr>
        <w:jc w:val="center"/>
        <w:rPr>
          <w:b/>
        </w:rPr>
      </w:pPr>
    </w:p>
    <w:p w:rsidR="00F3744E" w:rsidRPr="00F3744E" w:rsidRDefault="00F3744E" w:rsidP="00F3744E">
      <w:pPr>
        <w:jc w:val="center"/>
        <w:rPr>
          <w:b/>
        </w:rPr>
      </w:pPr>
      <w:r w:rsidRPr="00F3744E">
        <w:rPr>
          <w:b/>
        </w:rPr>
        <w:t>Antibiotics don’t cure a toothache!</w:t>
      </w:r>
    </w:p>
    <w:p w:rsidR="00F3744E" w:rsidRPr="00F3744E" w:rsidRDefault="00F3744E" w:rsidP="00F3744E">
      <w:pPr>
        <w:jc w:val="center"/>
        <w:rPr>
          <w:b/>
        </w:rPr>
      </w:pPr>
      <w:r w:rsidRPr="00F3744E">
        <w:rPr>
          <w:b/>
          <w:noProof/>
        </w:rPr>
        <w:drawing>
          <wp:inline distT="0" distB="0" distL="0" distR="0" wp14:anchorId="23A75EB3" wp14:editId="66E8B86A">
            <wp:extent cx="1933575" cy="7524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png"/>
                    <pic:cNvPicPr/>
                  </pic:nvPicPr>
                  <pic:blipFill>
                    <a:blip r:embed="rId8">
                      <a:extLst>
                        <a:ext uri="{28A0092B-C50C-407E-A947-70E740481C1C}">
                          <a14:useLocalDpi xmlns:a14="http://schemas.microsoft.com/office/drawing/2010/main" val="0"/>
                        </a:ext>
                      </a:extLst>
                    </a:blip>
                    <a:stretch>
                      <a:fillRect/>
                    </a:stretch>
                  </pic:blipFill>
                  <pic:spPr>
                    <a:xfrm>
                      <a:off x="0" y="0"/>
                      <a:ext cx="1933575" cy="752475"/>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3759"/>
      </w:tblGrid>
      <w:tr w:rsidR="00F3744E" w:rsidRPr="00F3744E" w:rsidTr="005F059C">
        <w:trPr>
          <w:jc w:val="center"/>
        </w:trPr>
        <w:tc>
          <w:tcPr>
            <w:tcW w:w="3759" w:type="dxa"/>
            <w:shd w:val="clear" w:color="auto" w:fill="00B0F0"/>
          </w:tcPr>
          <w:p w:rsidR="00F3744E" w:rsidRPr="00F3744E" w:rsidRDefault="00F3744E" w:rsidP="00F3744E">
            <w:pPr>
              <w:jc w:val="center"/>
              <w:rPr>
                <w:b/>
              </w:rPr>
            </w:pPr>
            <w:r w:rsidRPr="00F3744E">
              <w:rPr>
                <w:b/>
                <w:color w:val="FFFFFF" w:themeColor="background1"/>
              </w:rPr>
              <w:t>Pediatric pain relief recommendations</w:t>
            </w:r>
          </w:p>
        </w:tc>
      </w:tr>
    </w:tbl>
    <w:p w:rsidR="00F3744E" w:rsidRDefault="00F3744E" w:rsidP="00F3744E">
      <w:pPr>
        <w:spacing w:after="0" w:line="240" w:lineRule="auto"/>
        <w:rPr>
          <w:b/>
          <w:bCs/>
          <w:sz w:val="18"/>
          <w:szCs w:val="18"/>
        </w:rPr>
      </w:pPr>
    </w:p>
    <w:p w:rsidR="00F3744E" w:rsidRDefault="00F3744E" w:rsidP="00F3744E">
      <w:pPr>
        <w:spacing w:after="0" w:line="240" w:lineRule="auto"/>
        <w:rPr>
          <w:sz w:val="18"/>
          <w:szCs w:val="18"/>
        </w:rPr>
      </w:pPr>
      <w:r w:rsidRPr="00F3744E">
        <w:rPr>
          <w:b/>
          <w:bCs/>
          <w:sz w:val="18"/>
          <w:szCs w:val="18"/>
        </w:rPr>
        <w:t>Truth</w:t>
      </w:r>
      <w:r w:rsidRPr="00F3744E">
        <w:rPr>
          <w:sz w:val="18"/>
          <w:szCs w:val="18"/>
        </w:rPr>
        <w:t xml:space="preserve">: Pain relief can be used in conjunction with local tooth care received from the dentist.  </w:t>
      </w:r>
    </w:p>
    <w:p w:rsidR="00F3744E" w:rsidRPr="00F3744E" w:rsidRDefault="00F3744E" w:rsidP="00F3744E">
      <w:pPr>
        <w:spacing w:after="0" w:line="240" w:lineRule="auto"/>
        <w:rPr>
          <w:sz w:val="18"/>
          <w:szCs w:val="18"/>
        </w:rPr>
      </w:pPr>
    </w:p>
    <w:p w:rsidR="00F3744E" w:rsidRDefault="00F3744E" w:rsidP="00F3744E">
      <w:pPr>
        <w:spacing w:after="0" w:line="240" w:lineRule="auto"/>
        <w:rPr>
          <w:sz w:val="18"/>
          <w:szCs w:val="18"/>
        </w:rPr>
      </w:pPr>
      <w:r w:rsidRPr="00F3744E">
        <w:rPr>
          <w:sz w:val="18"/>
          <w:szCs w:val="18"/>
        </w:rPr>
        <w:t>For regimens combining acetaminophen and ibuprofen for children, use the dosing table below:</w:t>
      </w:r>
    </w:p>
    <w:p w:rsidR="00F3744E" w:rsidRPr="00F3744E" w:rsidRDefault="00F3744E" w:rsidP="00F3744E">
      <w:pPr>
        <w:spacing w:after="0" w:line="240" w:lineRule="auto"/>
        <w:rPr>
          <w:sz w:val="18"/>
          <w:szCs w:val="18"/>
        </w:rPr>
      </w:pPr>
    </w:p>
    <w:tbl>
      <w:tblPr>
        <w:tblStyle w:val="LightShading-Accent1"/>
        <w:tblW w:w="0" w:type="auto"/>
        <w:tblInd w:w="288" w:type="dxa"/>
        <w:tblLook w:val="04A0" w:firstRow="1" w:lastRow="0" w:firstColumn="1" w:lastColumn="0" w:noHBand="0" w:noVBand="1"/>
      </w:tblPr>
      <w:tblGrid>
        <w:gridCol w:w="1620"/>
        <w:gridCol w:w="1663"/>
        <w:gridCol w:w="1680"/>
        <w:gridCol w:w="1697"/>
      </w:tblGrid>
      <w:tr w:rsidR="00F3744E" w:rsidRPr="007C0B7E" w:rsidTr="00F374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F3744E" w:rsidRPr="00F3744E" w:rsidRDefault="00F3744E" w:rsidP="005F059C">
            <w:pPr>
              <w:rPr>
                <w:sz w:val="16"/>
                <w:szCs w:val="16"/>
              </w:rPr>
            </w:pPr>
            <w:r w:rsidRPr="00F3744E">
              <w:rPr>
                <w:sz w:val="16"/>
                <w:szCs w:val="16"/>
              </w:rPr>
              <w:t>Acetaminophen</w:t>
            </w:r>
          </w:p>
        </w:tc>
        <w:tc>
          <w:tcPr>
            <w:tcW w:w="1663" w:type="dxa"/>
          </w:tcPr>
          <w:p w:rsidR="00F3744E" w:rsidRPr="00F3744E" w:rsidRDefault="00F3744E" w:rsidP="005F059C">
            <w:pPr>
              <w:cnfStyle w:val="100000000000" w:firstRow="1" w:lastRow="0" w:firstColumn="0" w:lastColumn="0" w:oddVBand="0" w:evenVBand="0" w:oddHBand="0" w:evenHBand="0" w:firstRowFirstColumn="0" w:firstRowLastColumn="0" w:lastRowFirstColumn="0" w:lastRowLastColumn="0"/>
              <w:rPr>
                <w:sz w:val="16"/>
                <w:szCs w:val="16"/>
              </w:rPr>
            </w:pPr>
            <w:r w:rsidRPr="00F3744E">
              <w:rPr>
                <w:sz w:val="16"/>
                <w:szCs w:val="16"/>
              </w:rPr>
              <w:t>Dose</w:t>
            </w:r>
          </w:p>
        </w:tc>
        <w:tc>
          <w:tcPr>
            <w:tcW w:w="1680" w:type="dxa"/>
          </w:tcPr>
          <w:p w:rsidR="00F3744E" w:rsidRPr="00F3744E" w:rsidRDefault="00F3744E" w:rsidP="005F059C">
            <w:pPr>
              <w:cnfStyle w:val="100000000000" w:firstRow="1" w:lastRow="0" w:firstColumn="0" w:lastColumn="0" w:oddVBand="0" w:evenVBand="0" w:oddHBand="0" w:evenHBand="0" w:firstRowFirstColumn="0" w:firstRowLastColumn="0" w:lastRowFirstColumn="0" w:lastRowLastColumn="0"/>
              <w:rPr>
                <w:sz w:val="16"/>
                <w:szCs w:val="16"/>
              </w:rPr>
            </w:pPr>
            <w:r w:rsidRPr="00F3744E">
              <w:rPr>
                <w:sz w:val="16"/>
                <w:szCs w:val="16"/>
              </w:rPr>
              <w:t>Ibuprofen</w:t>
            </w:r>
          </w:p>
        </w:tc>
        <w:tc>
          <w:tcPr>
            <w:tcW w:w="1697" w:type="dxa"/>
          </w:tcPr>
          <w:p w:rsidR="00F3744E" w:rsidRPr="00F3744E" w:rsidRDefault="00F3744E" w:rsidP="005F059C">
            <w:pPr>
              <w:cnfStyle w:val="100000000000" w:firstRow="1" w:lastRow="0" w:firstColumn="0" w:lastColumn="0" w:oddVBand="0" w:evenVBand="0" w:oddHBand="0" w:evenHBand="0" w:firstRowFirstColumn="0" w:firstRowLastColumn="0" w:lastRowFirstColumn="0" w:lastRowLastColumn="0"/>
              <w:rPr>
                <w:sz w:val="16"/>
                <w:szCs w:val="16"/>
              </w:rPr>
            </w:pPr>
            <w:r w:rsidRPr="00F3744E">
              <w:rPr>
                <w:sz w:val="16"/>
                <w:szCs w:val="16"/>
              </w:rPr>
              <w:t>Dose</w:t>
            </w:r>
          </w:p>
        </w:tc>
      </w:tr>
      <w:tr w:rsidR="00F3744E" w:rsidRPr="007C0B7E" w:rsidTr="00F37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F3744E" w:rsidRPr="00F3744E" w:rsidRDefault="00F3744E" w:rsidP="005F059C">
            <w:pPr>
              <w:rPr>
                <w:sz w:val="16"/>
                <w:szCs w:val="16"/>
              </w:rPr>
            </w:pPr>
            <w:r w:rsidRPr="00F3744E">
              <w:rPr>
                <w:sz w:val="16"/>
                <w:szCs w:val="16"/>
              </w:rPr>
              <w:t>For child 6 months – 1 year</w:t>
            </w:r>
          </w:p>
        </w:tc>
        <w:tc>
          <w:tcPr>
            <w:tcW w:w="1663" w:type="dxa"/>
          </w:tcPr>
          <w:p w:rsidR="00F3744E" w:rsidRPr="00F3744E" w:rsidRDefault="00F3744E" w:rsidP="005F059C">
            <w:pPr>
              <w:cnfStyle w:val="000000100000" w:firstRow="0" w:lastRow="0" w:firstColumn="0" w:lastColumn="0" w:oddVBand="0" w:evenVBand="0" w:oddHBand="1" w:evenHBand="0" w:firstRowFirstColumn="0" w:firstRowLastColumn="0" w:lastRowFirstColumn="0" w:lastRowLastColumn="0"/>
              <w:rPr>
                <w:sz w:val="16"/>
                <w:szCs w:val="16"/>
              </w:rPr>
            </w:pPr>
            <w:r w:rsidRPr="00F3744E">
              <w:rPr>
                <w:sz w:val="16"/>
                <w:szCs w:val="16"/>
              </w:rPr>
              <w:t xml:space="preserve">120mg every 4-6 hours </w:t>
            </w:r>
          </w:p>
          <w:p w:rsidR="00F3744E" w:rsidRPr="00F3744E" w:rsidRDefault="00F3744E" w:rsidP="005F059C">
            <w:pPr>
              <w:cnfStyle w:val="000000100000" w:firstRow="0" w:lastRow="0" w:firstColumn="0" w:lastColumn="0" w:oddVBand="0" w:evenVBand="0" w:oddHBand="1" w:evenHBand="0" w:firstRowFirstColumn="0" w:firstRowLastColumn="0" w:lastRowFirstColumn="0" w:lastRowLastColumn="0"/>
              <w:rPr>
                <w:sz w:val="16"/>
                <w:szCs w:val="16"/>
              </w:rPr>
            </w:pPr>
            <w:r w:rsidRPr="00F3744E">
              <w:rPr>
                <w:sz w:val="16"/>
                <w:szCs w:val="16"/>
              </w:rPr>
              <w:t>max 4 x per day</w:t>
            </w:r>
          </w:p>
        </w:tc>
        <w:tc>
          <w:tcPr>
            <w:tcW w:w="1680" w:type="dxa"/>
          </w:tcPr>
          <w:p w:rsidR="00F3744E" w:rsidRPr="00F3744E" w:rsidRDefault="00F3744E" w:rsidP="005F059C">
            <w:pPr>
              <w:cnfStyle w:val="000000100000" w:firstRow="0" w:lastRow="0" w:firstColumn="0" w:lastColumn="0" w:oddVBand="0" w:evenVBand="0" w:oddHBand="1" w:evenHBand="0" w:firstRowFirstColumn="0" w:firstRowLastColumn="0" w:lastRowFirstColumn="0" w:lastRowLastColumn="0"/>
              <w:rPr>
                <w:b/>
                <w:sz w:val="16"/>
                <w:szCs w:val="16"/>
              </w:rPr>
            </w:pPr>
            <w:r w:rsidRPr="00F3744E">
              <w:rPr>
                <w:b/>
                <w:sz w:val="16"/>
                <w:szCs w:val="16"/>
              </w:rPr>
              <w:t xml:space="preserve">For child 6-11 months </w:t>
            </w:r>
          </w:p>
        </w:tc>
        <w:tc>
          <w:tcPr>
            <w:tcW w:w="1697" w:type="dxa"/>
          </w:tcPr>
          <w:p w:rsidR="00F3744E" w:rsidRPr="00F3744E" w:rsidRDefault="00F3744E" w:rsidP="005F059C">
            <w:pPr>
              <w:cnfStyle w:val="000000100000" w:firstRow="0" w:lastRow="0" w:firstColumn="0" w:lastColumn="0" w:oddVBand="0" w:evenVBand="0" w:oddHBand="1" w:evenHBand="0" w:firstRowFirstColumn="0" w:firstRowLastColumn="0" w:lastRowFirstColumn="0" w:lastRowLastColumn="0"/>
              <w:rPr>
                <w:sz w:val="16"/>
                <w:szCs w:val="16"/>
              </w:rPr>
            </w:pPr>
            <w:r w:rsidRPr="00F3744E">
              <w:rPr>
                <w:sz w:val="16"/>
                <w:szCs w:val="16"/>
              </w:rPr>
              <w:t>50mg 3 times daily</w:t>
            </w:r>
          </w:p>
          <w:p w:rsidR="00F3744E" w:rsidRPr="00F3744E" w:rsidRDefault="00F3744E" w:rsidP="005F059C">
            <w:pPr>
              <w:cnfStyle w:val="000000100000" w:firstRow="0" w:lastRow="0" w:firstColumn="0" w:lastColumn="0" w:oddVBand="0" w:evenVBand="0" w:oddHBand="1" w:evenHBand="0" w:firstRowFirstColumn="0" w:firstRowLastColumn="0" w:lastRowFirstColumn="0" w:lastRowLastColumn="0"/>
              <w:rPr>
                <w:sz w:val="16"/>
                <w:szCs w:val="16"/>
              </w:rPr>
            </w:pPr>
            <w:r w:rsidRPr="00F3744E">
              <w:rPr>
                <w:sz w:val="16"/>
                <w:szCs w:val="16"/>
              </w:rPr>
              <w:t>max daily dose in 3-4 divided doses = 30mg/kg*/day</w:t>
            </w:r>
          </w:p>
        </w:tc>
      </w:tr>
      <w:tr w:rsidR="00F3744E" w:rsidRPr="007C0B7E" w:rsidTr="00F3744E">
        <w:trPr>
          <w:trHeight w:val="575"/>
        </w:trPr>
        <w:tc>
          <w:tcPr>
            <w:cnfStyle w:val="001000000000" w:firstRow="0" w:lastRow="0" w:firstColumn="1" w:lastColumn="0" w:oddVBand="0" w:evenVBand="0" w:oddHBand="0" w:evenHBand="0" w:firstRowFirstColumn="0" w:firstRowLastColumn="0" w:lastRowFirstColumn="0" w:lastRowLastColumn="0"/>
            <w:tcW w:w="1620" w:type="dxa"/>
          </w:tcPr>
          <w:p w:rsidR="00F3744E" w:rsidRPr="00F3744E" w:rsidRDefault="00F3744E" w:rsidP="005F059C">
            <w:pPr>
              <w:rPr>
                <w:sz w:val="16"/>
                <w:szCs w:val="16"/>
              </w:rPr>
            </w:pPr>
            <w:r w:rsidRPr="00F3744E">
              <w:rPr>
                <w:sz w:val="16"/>
                <w:szCs w:val="16"/>
              </w:rPr>
              <w:t>For child 2-3 years</w:t>
            </w:r>
          </w:p>
        </w:tc>
        <w:tc>
          <w:tcPr>
            <w:tcW w:w="1663" w:type="dxa"/>
          </w:tcPr>
          <w:p w:rsidR="00F3744E" w:rsidRPr="00F3744E" w:rsidRDefault="00F3744E" w:rsidP="005F059C">
            <w:pPr>
              <w:cnfStyle w:val="000000000000" w:firstRow="0" w:lastRow="0" w:firstColumn="0" w:lastColumn="0" w:oddVBand="0" w:evenVBand="0" w:oddHBand="0" w:evenHBand="0" w:firstRowFirstColumn="0" w:firstRowLastColumn="0" w:lastRowFirstColumn="0" w:lastRowLastColumn="0"/>
              <w:rPr>
                <w:sz w:val="16"/>
                <w:szCs w:val="16"/>
              </w:rPr>
            </w:pPr>
            <w:r w:rsidRPr="00F3744E">
              <w:rPr>
                <w:sz w:val="16"/>
                <w:szCs w:val="16"/>
              </w:rPr>
              <w:t>180mg every 4-6 hours</w:t>
            </w:r>
          </w:p>
          <w:p w:rsidR="00F3744E" w:rsidRPr="00F3744E" w:rsidRDefault="00F3744E" w:rsidP="005F059C">
            <w:pPr>
              <w:cnfStyle w:val="000000000000" w:firstRow="0" w:lastRow="0" w:firstColumn="0" w:lastColumn="0" w:oddVBand="0" w:evenVBand="0" w:oddHBand="0" w:evenHBand="0" w:firstRowFirstColumn="0" w:firstRowLastColumn="0" w:lastRowFirstColumn="0" w:lastRowLastColumn="0"/>
              <w:rPr>
                <w:sz w:val="16"/>
                <w:szCs w:val="16"/>
              </w:rPr>
            </w:pPr>
            <w:r w:rsidRPr="00F3744E">
              <w:rPr>
                <w:sz w:val="16"/>
                <w:szCs w:val="16"/>
              </w:rPr>
              <w:t>max 4 x per day</w:t>
            </w:r>
          </w:p>
        </w:tc>
        <w:tc>
          <w:tcPr>
            <w:tcW w:w="1680" w:type="dxa"/>
          </w:tcPr>
          <w:p w:rsidR="00F3744E" w:rsidRPr="00F3744E" w:rsidRDefault="00F3744E" w:rsidP="005F059C">
            <w:pPr>
              <w:cnfStyle w:val="000000000000" w:firstRow="0" w:lastRow="0" w:firstColumn="0" w:lastColumn="0" w:oddVBand="0" w:evenVBand="0" w:oddHBand="0" w:evenHBand="0" w:firstRowFirstColumn="0" w:firstRowLastColumn="0" w:lastRowFirstColumn="0" w:lastRowLastColumn="0"/>
              <w:rPr>
                <w:b/>
                <w:sz w:val="16"/>
                <w:szCs w:val="16"/>
              </w:rPr>
            </w:pPr>
            <w:r w:rsidRPr="00F3744E">
              <w:rPr>
                <w:b/>
                <w:sz w:val="16"/>
                <w:szCs w:val="16"/>
              </w:rPr>
              <w:t>For child 1-3 years</w:t>
            </w:r>
          </w:p>
        </w:tc>
        <w:tc>
          <w:tcPr>
            <w:tcW w:w="1697" w:type="dxa"/>
          </w:tcPr>
          <w:p w:rsidR="00F3744E" w:rsidRPr="00F3744E" w:rsidRDefault="00F3744E" w:rsidP="005F059C">
            <w:pPr>
              <w:cnfStyle w:val="000000000000" w:firstRow="0" w:lastRow="0" w:firstColumn="0" w:lastColumn="0" w:oddVBand="0" w:evenVBand="0" w:oddHBand="0" w:evenHBand="0" w:firstRowFirstColumn="0" w:firstRowLastColumn="0" w:lastRowFirstColumn="0" w:lastRowLastColumn="0"/>
              <w:rPr>
                <w:sz w:val="16"/>
                <w:szCs w:val="16"/>
              </w:rPr>
            </w:pPr>
            <w:r w:rsidRPr="00F3744E">
              <w:rPr>
                <w:sz w:val="16"/>
                <w:szCs w:val="16"/>
              </w:rPr>
              <w:t>100mg 3 times daily</w:t>
            </w:r>
          </w:p>
          <w:p w:rsidR="00F3744E" w:rsidRPr="00F3744E" w:rsidRDefault="00F3744E" w:rsidP="005F059C">
            <w:pPr>
              <w:cnfStyle w:val="000000000000" w:firstRow="0" w:lastRow="0" w:firstColumn="0" w:lastColumn="0" w:oddVBand="0" w:evenVBand="0" w:oddHBand="0" w:evenHBand="0" w:firstRowFirstColumn="0" w:firstRowLastColumn="0" w:lastRowFirstColumn="0" w:lastRowLastColumn="0"/>
              <w:rPr>
                <w:sz w:val="16"/>
                <w:szCs w:val="16"/>
              </w:rPr>
            </w:pPr>
            <w:r w:rsidRPr="00F3744E">
              <w:rPr>
                <w:sz w:val="16"/>
                <w:szCs w:val="16"/>
              </w:rPr>
              <w:t>max daily dose in 3-4 divided doses = 30mg/kg*/day</w:t>
            </w:r>
          </w:p>
        </w:tc>
      </w:tr>
      <w:tr w:rsidR="00F3744E" w:rsidRPr="007C0B7E" w:rsidTr="00F37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F3744E" w:rsidRPr="00F3744E" w:rsidRDefault="00F3744E" w:rsidP="005F059C">
            <w:pPr>
              <w:rPr>
                <w:sz w:val="16"/>
                <w:szCs w:val="16"/>
              </w:rPr>
            </w:pPr>
            <w:r w:rsidRPr="00F3744E">
              <w:rPr>
                <w:sz w:val="16"/>
                <w:szCs w:val="16"/>
              </w:rPr>
              <w:t>For child 4-5 years</w:t>
            </w:r>
          </w:p>
        </w:tc>
        <w:tc>
          <w:tcPr>
            <w:tcW w:w="1663" w:type="dxa"/>
          </w:tcPr>
          <w:p w:rsidR="00F3744E" w:rsidRPr="00F3744E" w:rsidRDefault="00F3744E" w:rsidP="005F059C">
            <w:pPr>
              <w:cnfStyle w:val="000000100000" w:firstRow="0" w:lastRow="0" w:firstColumn="0" w:lastColumn="0" w:oddVBand="0" w:evenVBand="0" w:oddHBand="1" w:evenHBand="0" w:firstRowFirstColumn="0" w:firstRowLastColumn="0" w:lastRowFirstColumn="0" w:lastRowLastColumn="0"/>
              <w:rPr>
                <w:sz w:val="16"/>
                <w:szCs w:val="16"/>
              </w:rPr>
            </w:pPr>
            <w:r w:rsidRPr="00F3744E">
              <w:rPr>
                <w:sz w:val="16"/>
                <w:szCs w:val="16"/>
              </w:rPr>
              <w:t xml:space="preserve">240mg every 4-6 hours </w:t>
            </w:r>
          </w:p>
          <w:p w:rsidR="00F3744E" w:rsidRPr="00F3744E" w:rsidRDefault="00F3744E" w:rsidP="005F059C">
            <w:pPr>
              <w:cnfStyle w:val="000000100000" w:firstRow="0" w:lastRow="0" w:firstColumn="0" w:lastColumn="0" w:oddVBand="0" w:evenVBand="0" w:oddHBand="1" w:evenHBand="0" w:firstRowFirstColumn="0" w:firstRowLastColumn="0" w:lastRowFirstColumn="0" w:lastRowLastColumn="0"/>
              <w:rPr>
                <w:sz w:val="16"/>
                <w:szCs w:val="16"/>
              </w:rPr>
            </w:pPr>
            <w:r w:rsidRPr="00F3744E">
              <w:rPr>
                <w:sz w:val="16"/>
                <w:szCs w:val="16"/>
              </w:rPr>
              <w:t>max 4 x per day</w:t>
            </w:r>
          </w:p>
        </w:tc>
        <w:tc>
          <w:tcPr>
            <w:tcW w:w="1680" w:type="dxa"/>
          </w:tcPr>
          <w:p w:rsidR="00F3744E" w:rsidRPr="00F3744E" w:rsidRDefault="00F3744E" w:rsidP="005F059C">
            <w:pPr>
              <w:cnfStyle w:val="000000100000" w:firstRow="0" w:lastRow="0" w:firstColumn="0" w:lastColumn="0" w:oddVBand="0" w:evenVBand="0" w:oddHBand="1" w:evenHBand="0" w:firstRowFirstColumn="0" w:firstRowLastColumn="0" w:lastRowFirstColumn="0" w:lastRowLastColumn="0"/>
              <w:rPr>
                <w:b/>
                <w:sz w:val="16"/>
                <w:szCs w:val="16"/>
              </w:rPr>
            </w:pPr>
            <w:r w:rsidRPr="00F3744E">
              <w:rPr>
                <w:b/>
                <w:sz w:val="16"/>
                <w:szCs w:val="16"/>
              </w:rPr>
              <w:t>For child 4-6 years</w:t>
            </w:r>
          </w:p>
        </w:tc>
        <w:tc>
          <w:tcPr>
            <w:tcW w:w="1697" w:type="dxa"/>
          </w:tcPr>
          <w:p w:rsidR="00F3744E" w:rsidRPr="00F3744E" w:rsidRDefault="00F3744E" w:rsidP="005F059C">
            <w:pPr>
              <w:cnfStyle w:val="000000100000" w:firstRow="0" w:lastRow="0" w:firstColumn="0" w:lastColumn="0" w:oddVBand="0" w:evenVBand="0" w:oddHBand="1" w:evenHBand="0" w:firstRowFirstColumn="0" w:firstRowLastColumn="0" w:lastRowFirstColumn="0" w:lastRowLastColumn="0"/>
              <w:rPr>
                <w:sz w:val="16"/>
                <w:szCs w:val="16"/>
              </w:rPr>
            </w:pPr>
            <w:r w:rsidRPr="00F3744E">
              <w:rPr>
                <w:sz w:val="16"/>
                <w:szCs w:val="16"/>
              </w:rPr>
              <w:t>150mg 3 times daily</w:t>
            </w:r>
          </w:p>
          <w:p w:rsidR="00F3744E" w:rsidRPr="00F3744E" w:rsidRDefault="00F3744E" w:rsidP="005F059C">
            <w:pPr>
              <w:cnfStyle w:val="000000100000" w:firstRow="0" w:lastRow="0" w:firstColumn="0" w:lastColumn="0" w:oddVBand="0" w:evenVBand="0" w:oddHBand="1" w:evenHBand="0" w:firstRowFirstColumn="0" w:firstRowLastColumn="0" w:lastRowFirstColumn="0" w:lastRowLastColumn="0"/>
              <w:rPr>
                <w:sz w:val="16"/>
                <w:szCs w:val="16"/>
              </w:rPr>
            </w:pPr>
            <w:r w:rsidRPr="00F3744E">
              <w:rPr>
                <w:sz w:val="16"/>
                <w:szCs w:val="16"/>
              </w:rPr>
              <w:t>max daily dose in 3-4 divided doses = 30mg/kg*/day</w:t>
            </w:r>
          </w:p>
        </w:tc>
      </w:tr>
      <w:tr w:rsidR="00F3744E" w:rsidRPr="007C0B7E" w:rsidTr="00F3744E">
        <w:tc>
          <w:tcPr>
            <w:cnfStyle w:val="001000000000" w:firstRow="0" w:lastRow="0" w:firstColumn="1" w:lastColumn="0" w:oddVBand="0" w:evenVBand="0" w:oddHBand="0" w:evenHBand="0" w:firstRowFirstColumn="0" w:firstRowLastColumn="0" w:lastRowFirstColumn="0" w:lastRowLastColumn="0"/>
            <w:tcW w:w="1620" w:type="dxa"/>
          </w:tcPr>
          <w:p w:rsidR="00F3744E" w:rsidRPr="00F3744E" w:rsidRDefault="00F3744E" w:rsidP="005F059C">
            <w:pPr>
              <w:rPr>
                <w:sz w:val="16"/>
                <w:szCs w:val="16"/>
              </w:rPr>
            </w:pPr>
            <w:r w:rsidRPr="00F3744E">
              <w:rPr>
                <w:sz w:val="16"/>
                <w:szCs w:val="16"/>
              </w:rPr>
              <w:t>For child 6-7 years</w:t>
            </w:r>
          </w:p>
        </w:tc>
        <w:tc>
          <w:tcPr>
            <w:tcW w:w="1663" w:type="dxa"/>
          </w:tcPr>
          <w:p w:rsidR="00F3744E" w:rsidRPr="00F3744E" w:rsidRDefault="00F3744E" w:rsidP="005F059C">
            <w:pPr>
              <w:cnfStyle w:val="000000000000" w:firstRow="0" w:lastRow="0" w:firstColumn="0" w:lastColumn="0" w:oddVBand="0" w:evenVBand="0" w:oddHBand="0" w:evenHBand="0" w:firstRowFirstColumn="0" w:firstRowLastColumn="0" w:lastRowFirstColumn="0" w:lastRowLastColumn="0"/>
              <w:rPr>
                <w:sz w:val="16"/>
                <w:szCs w:val="16"/>
              </w:rPr>
            </w:pPr>
            <w:r w:rsidRPr="00F3744E">
              <w:rPr>
                <w:sz w:val="16"/>
                <w:szCs w:val="16"/>
              </w:rPr>
              <w:t>240-250mg every 4-6 hours max 4 x per day</w:t>
            </w:r>
          </w:p>
        </w:tc>
        <w:tc>
          <w:tcPr>
            <w:tcW w:w="1680" w:type="dxa"/>
          </w:tcPr>
          <w:p w:rsidR="00F3744E" w:rsidRPr="00F3744E" w:rsidRDefault="00F3744E" w:rsidP="005F059C">
            <w:pPr>
              <w:cnfStyle w:val="000000000000" w:firstRow="0" w:lastRow="0" w:firstColumn="0" w:lastColumn="0" w:oddVBand="0" w:evenVBand="0" w:oddHBand="0" w:evenHBand="0" w:firstRowFirstColumn="0" w:firstRowLastColumn="0" w:lastRowFirstColumn="0" w:lastRowLastColumn="0"/>
              <w:rPr>
                <w:b/>
                <w:sz w:val="16"/>
                <w:szCs w:val="16"/>
              </w:rPr>
            </w:pPr>
            <w:r w:rsidRPr="00F3744E">
              <w:rPr>
                <w:b/>
                <w:sz w:val="16"/>
                <w:szCs w:val="16"/>
              </w:rPr>
              <w:t>For child 7-9 years</w:t>
            </w:r>
          </w:p>
        </w:tc>
        <w:tc>
          <w:tcPr>
            <w:tcW w:w="1697" w:type="dxa"/>
          </w:tcPr>
          <w:p w:rsidR="00F3744E" w:rsidRPr="00F3744E" w:rsidRDefault="00F3744E" w:rsidP="005F059C">
            <w:pPr>
              <w:cnfStyle w:val="000000000000" w:firstRow="0" w:lastRow="0" w:firstColumn="0" w:lastColumn="0" w:oddVBand="0" w:evenVBand="0" w:oddHBand="0" w:evenHBand="0" w:firstRowFirstColumn="0" w:firstRowLastColumn="0" w:lastRowFirstColumn="0" w:lastRowLastColumn="0"/>
              <w:rPr>
                <w:sz w:val="16"/>
                <w:szCs w:val="16"/>
              </w:rPr>
            </w:pPr>
            <w:r w:rsidRPr="00F3744E">
              <w:rPr>
                <w:sz w:val="16"/>
                <w:szCs w:val="16"/>
              </w:rPr>
              <w:t>200mg 3 times daily</w:t>
            </w:r>
          </w:p>
          <w:p w:rsidR="00F3744E" w:rsidRPr="00F3744E" w:rsidRDefault="00F3744E" w:rsidP="005F059C">
            <w:pPr>
              <w:cnfStyle w:val="000000000000" w:firstRow="0" w:lastRow="0" w:firstColumn="0" w:lastColumn="0" w:oddVBand="0" w:evenVBand="0" w:oddHBand="0" w:evenHBand="0" w:firstRowFirstColumn="0" w:firstRowLastColumn="0" w:lastRowFirstColumn="0" w:lastRowLastColumn="0"/>
              <w:rPr>
                <w:sz w:val="16"/>
                <w:szCs w:val="16"/>
              </w:rPr>
            </w:pPr>
            <w:r w:rsidRPr="00F3744E">
              <w:rPr>
                <w:sz w:val="16"/>
                <w:szCs w:val="16"/>
              </w:rPr>
              <w:t>max daily dose in 3-4 divided doses = 30mg/kg*/day up to max 2.4 grams/day</w:t>
            </w:r>
          </w:p>
        </w:tc>
      </w:tr>
      <w:tr w:rsidR="00F3744E" w:rsidRPr="007C0B7E" w:rsidTr="00F37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F3744E" w:rsidRPr="00F3744E" w:rsidRDefault="00F3744E" w:rsidP="005F059C">
            <w:pPr>
              <w:rPr>
                <w:sz w:val="16"/>
                <w:szCs w:val="16"/>
              </w:rPr>
            </w:pPr>
            <w:r w:rsidRPr="00F3744E">
              <w:rPr>
                <w:sz w:val="16"/>
                <w:szCs w:val="16"/>
              </w:rPr>
              <w:t>For child 8-9 years</w:t>
            </w:r>
          </w:p>
        </w:tc>
        <w:tc>
          <w:tcPr>
            <w:tcW w:w="1663" w:type="dxa"/>
          </w:tcPr>
          <w:p w:rsidR="00F3744E" w:rsidRPr="00F3744E" w:rsidRDefault="00F3744E" w:rsidP="005F059C">
            <w:pPr>
              <w:cnfStyle w:val="000000100000" w:firstRow="0" w:lastRow="0" w:firstColumn="0" w:lastColumn="0" w:oddVBand="0" w:evenVBand="0" w:oddHBand="1" w:evenHBand="0" w:firstRowFirstColumn="0" w:firstRowLastColumn="0" w:lastRowFirstColumn="0" w:lastRowLastColumn="0"/>
              <w:rPr>
                <w:sz w:val="16"/>
                <w:szCs w:val="16"/>
              </w:rPr>
            </w:pPr>
            <w:r w:rsidRPr="00F3744E">
              <w:rPr>
                <w:sz w:val="16"/>
                <w:szCs w:val="16"/>
              </w:rPr>
              <w:t>360-375mg every 4-6 hours</w:t>
            </w:r>
          </w:p>
          <w:p w:rsidR="00F3744E" w:rsidRPr="00F3744E" w:rsidRDefault="00F3744E" w:rsidP="005F059C">
            <w:pPr>
              <w:cnfStyle w:val="000000100000" w:firstRow="0" w:lastRow="0" w:firstColumn="0" w:lastColumn="0" w:oddVBand="0" w:evenVBand="0" w:oddHBand="1" w:evenHBand="0" w:firstRowFirstColumn="0" w:firstRowLastColumn="0" w:lastRowFirstColumn="0" w:lastRowLastColumn="0"/>
              <w:rPr>
                <w:sz w:val="16"/>
                <w:szCs w:val="16"/>
              </w:rPr>
            </w:pPr>
            <w:r w:rsidRPr="00F3744E">
              <w:rPr>
                <w:sz w:val="16"/>
                <w:szCs w:val="16"/>
              </w:rPr>
              <w:t>max 4 x per day</w:t>
            </w:r>
          </w:p>
        </w:tc>
        <w:tc>
          <w:tcPr>
            <w:tcW w:w="1680" w:type="dxa"/>
          </w:tcPr>
          <w:p w:rsidR="00F3744E" w:rsidRPr="00F3744E" w:rsidRDefault="00F3744E" w:rsidP="005F059C">
            <w:pPr>
              <w:cnfStyle w:val="000000100000" w:firstRow="0" w:lastRow="0" w:firstColumn="0" w:lastColumn="0" w:oddVBand="0" w:evenVBand="0" w:oddHBand="1" w:evenHBand="0" w:firstRowFirstColumn="0" w:firstRowLastColumn="0" w:lastRowFirstColumn="0" w:lastRowLastColumn="0"/>
              <w:rPr>
                <w:b/>
                <w:sz w:val="16"/>
                <w:szCs w:val="16"/>
              </w:rPr>
            </w:pPr>
            <w:r w:rsidRPr="00F3744E">
              <w:rPr>
                <w:b/>
                <w:sz w:val="16"/>
                <w:szCs w:val="16"/>
              </w:rPr>
              <w:t>For child  10-11 years</w:t>
            </w:r>
          </w:p>
        </w:tc>
        <w:tc>
          <w:tcPr>
            <w:tcW w:w="1697" w:type="dxa"/>
          </w:tcPr>
          <w:p w:rsidR="00F3744E" w:rsidRPr="00F3744E" w:rsidRDefault="00F3744E" w:rsidP="005F059C">
            <w:pPr>
              <w:cnfStyle w:val="000000100000" w:firstRow="0" w:lastRow="0" w:firstColumn="0" w:lastColumn="0" w:oddVBand="0" w:evenVBand="0" w:oddHBand="1" w:evenHBand="0" w:firstRowFirstColumn="0" w:firstRowLastColumn="0" w:lastRowFirstColumn="0" w:lastRowLastColumn="0"/>
              <w:rPr>
                <w:sz w:val="16"/>
                <w:szCs w:val="16"/>
              </w:rPr>
            </w:pPr>
            <w:r w:rsidRPr="00F3744E">
              <w:rPr>
                <w:sz w:val="16"/>
                <w:szCs w:val="16"/>
              </w:rPr>
              <w:t>300mg 3 times a day</w:t>
            </w:r>
          </w:p>
          <w:p w:rsidR="00F3744E" w:rsidRPr="00F3744E" w:rsidRDefault="00F3744E" w:rsidP="005F059C">
            <w:pPr>
              <w:cnfStyle w:val="000000100000" w:firstRow="0" w:lastRow="0" w:firstColumn="0" w:lastColumn="0" w:oddVBand="0" w:evenVBand="0" w:oddHBand="1" w:evenHBand="0" w:firstRowFirstColumn="0" w:firstRowLastColumn="0" w:lastRowFirstColumn="0" w:lastRowLastColumn="0"/>
              <w:rPr>
                <w:sz w:val="16"/>
                <w:szCs w:val="16"/>
              </w:rPr>
            </w:pPr>
            <w:r w:rsidRPr="00F3744E">
              <w:rPr>
                <w:sz w:val="16"/>
                <w:szCs w:val="16"/>
              </w:rPr>
              <w:t>max daily dose in 3-4 divided doses = 30mg/kg*/day up to max 2.4 grams/day</w:t>
            </w:r>
          </w:p>
        </w:tc>
      </w:tr>
      <w:tr w:rsidR="00F3744E" w:rsidRPr="007C0B7E" w:rsidTr="00F3744E">
        <w:tc>
          <w:tcPr>
            <w:cnfStyle w:val="001000000000" w:firstRow="0" w:lastRow="0" w:firstColumn="1" w:lastColumn="0" w:oddVBand="0" w:evenVBand="0" w:oddHBand="0" w:evenHBand="0" w:firstRowFirstColumn="0" w:firstRowLastColumn="0" w:lastRowFirstColumn="0" w:lastRowLastColumn="0"/>
            <w:tcW w:w="1620" w:type="dxa"/>
          </w:tcPr>
          <w:p w:rsidR="00F3744E" w:rsidRPr="00F3744E" w:rsidRDefault="00F3744E" w:rsidP="005F059C">
            <w:pPr>
              <w:rPr>
                <w:sz w:val="16"/>
                <w:szCs w:val="16"/>
              </w:rPr>
            </w:pPr>
            <w:r w:rsidRPr="00F3744E">
              <w:rPr>
                <w:sz w:val="16"/>
                <w:szCs w:val="16"/>
              </w:rPr>
              <w:t>For child 10-11 years</w:t>
            </w:r>
          </w:p>
        </w:tc>
        <w:tc>
          <w:tcPr>
            <w:tcW w:w="1663" w:type="dxa"/>
          </w:tcPr>
          <w:p w:rsidR="00F3744E" w:rsidRPr="00F3744E" w:rsidRDefault="00F3744E" w:rsidP="005F059C">
            <w:pPr>
              <w:cnfStyle w:val="000000000000" w:firstRow="0" w:lastRow="0" w:firstColumn="0" w:lastColumn="0" w:oddVBand="0" w:evenVBand="0" w:oddHBand="0" w:evenHBand="0" w:firstRowFirstColumn="0" w:firstRowLastColumn="0" w:lastRowFirstColumn="0" w:lastRowLastColumn="0"/>
              <w:rPr>
                <w:sz w:val="16"/>
                <w:szCs w:val="16"/>
              </w:rPr>
            </w:pPr>
            <w:r w:rsidRPr="00F3744E">
              <w:rPr>
                <w:sz w:val="16"/>
                <w:szCs w:val="16"/>
              </w:rPr>
              <w:t>480-500mg every 4-6 hours</w:t>
            </w:r>
          </w:p>
          <w:p w:rsidR="00F3744E" w:rsidRPr="00F3744E" w:rsidRDefault="00F3744E" w:rsidP="005F059C">
            <w:pPr>
              <w:cnfStyle w:val="000000000000" w:firstRow="0" w:lastRow="0" w:firstColumn="0" w:lastColumn="0" w:oddVBand="0" w:evenVBand="0" w:oddHBand="0" w:evenHBand="0" w:firstRowFirstColumn="0" w:firstRowLastColumn="0" w:lastRowFirstColumn="0" w:lastRowLastColumn="0"/>
              <w:rPr>
                <w:sz w:val="16"/>
                <w:szCs w:val="16"/>
              </w:rPr>
            </w:pPr>
            <w:r w:rsidRPr="00F3744E">
              <w:rPr>
                <w:sz w:val="16"/>
                <w:szCs w:val="16"/>
              </w:rPr>
              <w:t>max 4 x per days</w:t>
            </w:r>
          </w:p>
        </w:tc>
        <w:tc>
          <w:tcPr>
            <w:tcW w:w="1680" w:type="dxa"/>
          </w:tcPr>
          <w:p w:rsidR="00F3744E" w:rsidRPr="00F3744E" w:rsidRDefault="00F3744E" w:rsidP="005F059C">
            <w:pPr>
              <w:cnfStyle w:val="000000000000" w:firstRow="0" w:lastRow="0" w:firstColumn="0" w:lastColumn="0" w:oddVBand="0" w:evenVBand="0" w:oddHBand="0" w:evenHBand="0" w:firstRowFirstColumn="0" w:firstRowLastColumn="0" w:lastRowFirstColumn="0" w:lastRowLastColumn="0"/>
              <w:rPr>
                <w:b/>
                <w:sz w:val="16"/>
                <w:szCs w:val="16"/>
              </w:rPr>
            </w:pPr>
            <w:r w:rsidRPr="00F3744E">
              <w:rPr>
                <w:b/>
                <w:sz w:val="16"/>
                <w:szCs w:val="16"/>
              </w:rPr>
              <w:t>For child 12-17 years</w:t>
            </w:r>
          </w:p>
        </w:tc>
        <w:tc>
          <w:tcPr>
            <w:tcW w:w="1697" w:type="dxa"/>
          </w:tcPr>
          <w:p w:rsidR="00F3744E" w:rsidRPr="00F3744E" w:rsidRDefault="00F3744E" w:rsidP="005F059C">
            <w:pPr>
              <w:cnfStyle w:val="000000000000" w:firstRow="0" w:lastRow="0" w:firstColumn="0" w:lastColumn="0" w:oddVBand="0" w:evenVBand="0" w:oddHBand="0" w:evenHBand="0" w:firstRowFirstColumn="0" w:firstRowLastColumn="0" w:lastRowFirstColumn="0" w:lastRowLastColumn="0"/>
              <w:rPr>
                <w:sz w:val="16"/>
                <w:szCs w:val="16"/>
              </w:rPr>
            </w:pPr>
            <w:r w:rsidRPr="00F3744E">
              <w:rPr>
                <w:sz w:val="16"/>
                <w:szCs w:val="16"/>
              </w:rPr>
              <w:t xml:space="preserve">Initially 300-400mg 3-4 times a day (up to 600 mg 4 times daily) maintenance 200-400mg 3 times daily </w:t>
            </w:r>
          </w:p>
        </w:tc>
      </w:tr>
      <w:tr w:rsidR="00F3744E" w:rsidRPr="007C0B7E" w:rsidTr="00F37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F3744E" w:rsidRPr="00F3744E" w:rsidRDefault="00F3744E" w:rsidP="005F059C">
            <w:pPr>
              <w:rPr>
                <w:sz w:val="16"/>
                <w:szCs w:val="16"/>
              </w:rPr>
            </w:pPr>
            <w:r w:rsidRPr="00F3744E">
              <w:rPr>
                <w:sz w:val="16"/>
                <w:szCs w:val="16"/>
              </w:rPr>
              <w:t>For child 12-15 years</w:t>
            </w:r>
          </w:p>
        </w:tc>
        <w:tc>
          <w:tcPr>
            <w:tcW w:w="1663" w:type="dxa"/>
          </w:tcPr>
          <w:p w:rsidR="00F3744E" w:rsidRPr="00F3744E" w:rsidRDefault="00F3744E" w:rsidP="005F059C">
            <w:pPr>
              <w:cnfStyle w:val="000000100000" w:firstRow="0" w:lastRow="0" w:firstColumn="0" w:lastColumn="0" w:oddVBand="0" w:evenVBand="0" w:oddHBand="1" w:evenHBand="0" w:firstRowFirstColumn="0" w:firstRowLastColumn="0" w:lastRowFirstColumn="0" w:lastRowLastColumn="0"/>
              <w:rPr>
                <w:sz w:val="16"/>
                <w:szCs w:val="16"/>
              </w:rPr>
            </w:pPr>
            <w:r w:rsidRPr="00F3744E">
              <w:rPr>
                <w:sz w:val="16"/>
                <w:szCs w:val="16"/>
              </w:rPr>
              <w:t>480-750mg every 4-6 hours</w:t>
            </w:r>
          </w:p>
          <w:p w:rsidR="00F3744E" w:rsidRPr="00F3744E" w:rsidRDefault="00F3744E" w:rsidP="005F059C">
            <w:pPr>
              <w:cnfStyle w:val="000000100000" w:firstRow="0" w:lastRow="0" w:firstColumn="0" w:lastColumn="0" w:oddVBand="0" w:evenVBand="0" w:oddHBand="1" w:evenHBand="0" w:firstRowFirstColumn="0" w:firstRowLastColumn="0" w:lastRowFirstColumn="0" w:lastRowLastColumn="0"/>
              <w:rPr>
                <w:sz w:val="16"/>
                <w:szCs w:val="16"/>
              </w:rPr>
            </w:pPr>
            <w:r w:rsidRPr="00F3744E">
              <w:rPr>
                <w:sz w:val="16"/>
                <w:szCs w:val="16"/>
              </w:rPr>
              <w:t>max 4 x per day</w:t>
            </w:r>
          </w:p>
        </w:tc>
        <w:tc>
          <w:tcPr>
            <w:tcW w:w="3377" w:type="dxa"/>
            <w:gridSpan w:val="2"/>
            <w:vMerge w:val="restart"/>
          </w:tcPr>
          <w:p w:rsidR="00F3744E" w:rsidRPr="00F3744E" w:rsidRDefault="00F3744E" w:rsidP="005F059C">
            <w:pPr>
              <w:cnfStyle w:val="000000100000" w:firstRow="0" w:lastRow="0" w:firstColumn="0" w:lastColumn="0" w:oddVBand="0" w:evenVBand="0" w:oddHBand="1" w:evenHBand="0" w:firstRowFirstColumn="0" w:firstRowLastColumn="0" w:lastRowFirstColumn="0" w:lastRowLastColumn="0"/>
              <w:rPr>
                <w:sz w:val="16"/>
                <w:szCs w:val="16"/>
              </w:rPr>
            </w:pPr>
            <w:r w:rsidRPr="00F3744E">
              <w:rPr>
                <w:sz w:val="16"/>
                <w:szCs w:val="16"/>
              </w:rPr>
              <w:t xml:space="preserve"> If you or your child exceed the recommended dose or experience any abnormal reactions, seek additional medical advice.   It may be easiest to dose the acetaminophen at the same time as the ibuprofen.  Ibuprofen should be taken with food.  Acetaminophen may be taken with or without food.</w:t>
            </w:r>
          </w:p>
        </w:tc>
      </w:tr>
      <w:tr w:rsidR="00F3744E" w:rsidRPr="007C0B7E" w:rsidTr="00F3744E">
        <w:tc>
          <w:tcPr>
            <w:cnfStyle w:val="001000000000" w:firstRow="0" w:lastRow="0" w:firstColumn="1" w:lastColumn="0" w:oddVBand="0" w:evenVBand="0" w:oddHBand="0" w:evenHBand="0" w:firstRowFirstColumn="0" w:firstRowLastColumn="0" w:lastRowFirstColumn="0" w:lastRowLastColumn="0"/>
            <w:tcW w:w="1620" w:type="dxa"/>
          </w:tcPr>
          <w:p w:rsidR="00F3744E" w:rsidRPr="00F3744E" w:rsidRDefault="00F3744E" w:rsidP="005F059C">
            <w:pPr>
              <w:rPr>
                <w:sz w:val="16"/>
                <w:szCs w:val="16"/>
              </w:rPr>
            </w:pPr>
            <w:r w:rsidRPr="00F3744E">
              <w:rPr>
                <w:sz w:val="16"/>
                <w:szCs w:val="16"/>
              </w:rPr>
              <w:t>For child 16-17 years</w:t>
            </w:r>
          </w:p>
        </w:tc>
        <w:tc>
          <w:tcPr>
            <w:tcW w:w="1663" w:type="dxa"/>
          </w:tcPr>
          <w:p w:rsidR="00F3744E" w:rsidRPr="00F3744E" w:rsidRDefault="00F3744E" w:rsidP="005F059C">
            <w:pPr>
              <w:cnfStyle w:val="000000000000" w:firstRow="0" w:lastRow="0" w:firstColumn="0" w:lastColumn="0" w:oddVBand="0" w:evenVBand="0" w:oddHBand="0" w:evenHBand="0" w:firstRowFirstColumn="0" w:firstRowLastColumn="0" w:lastRowFirstColumn="0" w:lastRowLastColumn="0"/>
              <w:rPr>
                <w:sz w:val="16"/>
                <w:szCs w:val="16"/>
              </w:rPr>
            </w:pPr>
            <w:r w:rsidRPr="00F3744E">
              <w:rPr>
                <w:sz w:val="16"/>
                <w:szCs w:val="16"/>
              </w:rPr>
              <w:t>500-1000mg every 4-6 hours</w:t>
            </w:r>
          </w:p>
          <w:p w:rsidR="00F3744E" w:rsidRPr="00F3744E" w:rsidRDefault="00F3744E" w:rsidP="005F059C">
            <w:pPr>
              <w:cnfStyle w:val="000000000000" w:firstRow="0" w:lastRow="0" w:firstColumn="0" w:lastColumn="0" w:oddVBand="0" w:evenVBand="0" w:oddHBand="0" w:evenHBand="0" w:firstRowFirstColumn="0" w:firstRowLastColumn="0" w:lastRowFirstColumn="0" w:lastRowLastColumn="0"/>
              <w:rPr>
                <w:sz w:val="16"/>
                <w:szCs w:val="16"/>
              </w:rPr>
            </w:pPr>
            <w:r w:rsidRPr="00F3744E">
              <w:rPr>
                <w:sz w:val="16"/>
                <w:szCs w:val="16"/>
              </w:rPr>
              <w:t>max 4 x per day</w:t>
            </w:r>
          </w:p>
        </w:tc>
        <w:tc>
          <w:tcPr>
            <w:tcW w:w="3377" w:type="dxa"/>
            <w:gridSpan w:val="2"/>
            <w:vMerge/>
          </w:tcPr>
          <w:p w:rsidR="00F3744E" w:rsidRPr="007C0B7E" w:rsidRDefault="00F3744E" w:rsidP="005F059C">
            <w:pPr>
              <w:cnfStyle w:val="000000000000" w:firstRow="0" w:lastRow="0" w:firstColumn="0" w:lastColumn="0" w:oddVBand="0" w:evenVBand="0" w:oddHBand="0" w:evenHBand="0" w:firstRowFirstColumn="0" w:firstRowLastColumn="0" w:lastRowFirstColumn="0" w:lastRowLastColumn="0"/>
              <w:rPr>
                <w:sz w:val="14"/>
                <w:szCs w:val="14"/>
              </w:rPr>
            </w:pPr>
          </w:p>
        </w:tc>
      </w:tr>
    </w:tbl>
    <w:p w:rsidR="00F3744E" w:rsidRDefault="00F3744E" w:rsidP="00F3744E">
      <w:pPr>
        <w:jc w:val="center"/>
        <w:rPr>
          <w:color w:val="17365D" w:themeColor="text2" w:themeShade="BF"/>
          <w:sz w:val="18"/>
          <w:szCs w:val="18"/>
        </w:rPr>
      </w:pPr>
      <w:r w:rsidRPr="00F3744E">
        <w:rPr>
          <w:color w:val="17365D" w:themeColor="text2" w:themeShade="BF"/>
          <w:sz w:val="18"/>
          <w:szCs w:val="18"/>
        </w:rPr>
        <w:t>*kg = kilogram; to convert kg to pounds, take kg weight and multiply by 2.2</w:t>
      </w:r>
    </w:p>
    <w:p w:rsidR="00F3744E" w:rsidRDefault="00F3744E" w:rsidP="00F3744E">
      <w:pPr>
        <w:jc w:val="center"/>
        <w:rPr>
          <w:color w:val="17365D" w:themeColor="text2" w:themeShade="BF"/>
          <w:sz w:val="18"/>
          <w:szCs w:val="18"/>
        </w:rPr>
      </w:pPr>
    </w:p>
    <w:p w:rsidR="00F3744E" w:rsidRPr="00F3744E" w:rsidRDefault="006D4A09" w:rsidP="007772CF">
      <w:pPr>
        <w:rPr>
          <w:color w:val="17365D" w:themeColor="text2" w:themeShade="BF"/>
          <w:sz w:val="18"/>
          <w:szCs w:val="18"/>
        </w:rPr>
      </w:pPr>
      <w:r>
        <w:rPr>
          <w:noProof/>
        </w:rPr>
        <w:lastRenderedPageBreak/>
        <mc:AlternateContent>
          <mc:Choice Requires="wps">
            <w:drawing>
              <wp:anchor distT="0" distB="0" distL="114300" distR="114300" simplePos="0" relativeHeight="251673600" behindDoc="0" locked="0" layoutInCell="1" allowOverlap="1" wp14:anchorId="34D3471C" wp14:editId="285BC854">
                <wp:simplePos x="0" y="0"/>
                <wp:positionH relativeFrom="column">
                  <wp:posOffset>5017769</wp:posOffset>
                </wp:positionH>
                <wp:positionV relativeFrom="paragraph">
                  <wp:posOffset>17145</wp:posOffset>
                </wp:positionV>
                <wp:extent cx="4600575" cy="736282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600575" cy="7362825"/>
                        </a:xfrm>
                        <a:prstGeom prst="rect">
                          <a:avLst/>
                        </a:prstGeom>
                        <a:solidFill>
                          <a:schemeClr val="bg1"/>
                        </a:solidFill>
                        <a:ln w="9525">
                          <a:solidFill>
                            <a:schemeClr val="bg1"/>
                          </a:solidFill>
                          <a:miter lim="800000"/>
                          <a:headEnd/>
                          <a:tailEnd/>
                        </a:ln>
                      </wps:spPr>
                      <wps:txbx>
                        <w:txbxContent>
                          <w:p w:rsidR="006D4A09" w:rsidRDefault="006D4A09" w:rsidP="006D4A09">
                            <w:pPr>
                              <w:jc w:val="center"/>
                              <w:rPr>
                                <w:b/>
                                <w:sz w:val="28"/>
                                <w:szCs w:val="28"/>
                              </w:rPr>
                            </w:pPr>
                            <w:r>
                              <w:rPr>
                                <w:b/>
                                <w:noProof/>
                              </w:rPr>
                              <w:drawing>
                                <wp:inline distT="0" distB="0" distL="0" distR="0" wp14:anchorId="0CB8453D" wp14:editId="1444E797">
                                  <wp:extent cx="1838325" cy="714904"/>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3.jpg"/>
                                          <pic:cNvPicPr/>
                                        </pic:nvPicPr>
                                        <pic:blipFill>
                                          <a:blip r:embed="rId11">
                                            <a:extLst>
                                              <a:ext uri="{28A0092B-C50C-407E-A947-70E740481C1C}">
                                                <a14:useLocalDpi xmlns:a14="http://schemas.microsoft.com/office/drawing/2010/main" val="0"/>
                                              </a:ext>
                                            </a:extLst>
                                          </a:blip>
                                          <a:stretch>
                                            <a:fillRect/>
                                          </a:stretch>
                                        </pic:blipFill>
                                        <pic:spPr>
                                          <a:xfrm>
                                            <a:off x="0" y="0"/>
                                            <a:ext cx="1838325" cy="714904"/>
                                          </a:xfrm>
                                          <a:prstGeom prst="rect">
                                            <a:avLst/>
                                          </a:prstGeom>
                                        </pic:spPr>
                                      </pic:pic>
                                    </a:graphicData>
                                  </a:graphic>
                                </wp:inline>
                              </w:drawing>
                            </w:r>
                          </w:p>
                          <w:p w:rsidR="006D4A09" w:rsidRPr="006D4A09" w:rsidRDefault="006D4A09" w:rsidP="006D4A09">
                            <w:pPr>
                              <w:jc w:val="center"/>
                              <w:rPr>
                                <w:b/>
                              </w:rPr>
                            </w:pPr>
                            <w:r w:rsidRPr="006D4A09">
                              <w:rPr>
                                <w:b/>
                              </w:rPr>
                              <w:t>Antibiotics Won’t Cure a Toothache!</w:t>
                            </w:r>
                          </w:p>
                          <w:p w:rsidR="006D4A09" w:rsidRPr="006D4A09" w:rsidRDefault="006D4A09" w:rsidP="006D4A09">
                            <w:pPr>
                              <w:rPr>
                                <w:b/>
                                <w:sz w:val="18"/>
                                <w:szCs w:val="18"/>
                              </w:rPr>
                            </w:pPr>
                            <w:r w:rsidRPr="006D4A09">
                              <w:rPr>
                                <w:sz w:val="18"/>
                                <w:szCs w:val="18"/>
                              </w:rPr>
                              <w:t>Patients need to understand that the use of antibiotics is not an acceptable treatment for almost all oral health-related problems, such as a “toothache”, and should be used only in cases of severe infection when systemic involvement is evident.</w:t>
                            </w:r>
                          </w:p>
                          <w:p w:rsidR="006D4A09" w:rsidRPr="006D4A09" w:rsidRDefault="006D4A09" w:rsidP="006D4A09">
                            <w:pPr>
                              <w:rPr>
                                <w:b/>
                                <w:sz w:val="18"/>
                                <w:szCs w:val="18"/>
                                <w:vertAlign w:val="superscript"/>
                              </w:rPr>
                            </w:pPr>
                            <w:r w:rsidRPr="006D4A09">
                              <w:rPr>
                                <w:b/>
                                <w:sz w:val="18"/>
                                <w:szCs w:val="18"/>
                              </w:rPr>
                              <w:t>Summary of Therapeutic Antibiotic Use in Dentistry</w:t>
                            </w:r>
                            <w:proofErr w:type="gramStart"/>
                            <w:r w:rsidRPr="006D4A09">
                              <w:rPr>
                                <w:b/>
                                <w:sz w:val="18"/>
                                <w:szCs w:val="18"/>
                              </w:rPr>
                              <w:t>:</w:t>
                            </w:r>
                            <w:r w:rsidRPr="006D4A09">
                              <w:rPr>
                                <w:b/>
                                <w:sz w:val="18"/>
                                <w:szCs w:val="18"/>
                                <w:vertAlign w:val="superscript"/>
                              </w:rPr>
                              <w:t>1</w:t>
                            </w:r>
                            <w:proofErr w:type="gramEnd"/>
                          </w:p>
                          <w:p w:rsidR="006D4A09" w:rsidRPr="006D4A09" w:rsidRDefault="006D4A09" w:rsidP="006D4A09">
                            <w:pPr>
                              <w:pStyle w:val="ListParagraph"/>
                              <w:numPr>
                                <w:ilvl w:val="0"/>
                                <w:numId w:val="14"/>
                              </w:numPr>
                              <w:rPr>
                                <w:sz w:val="18"/>
                                <w:szCs w:val="18"/>
                              </w:rPr>
                            </w:pPr>
                            <w:r w:rsidRPr="006D4A09">
                              <w:rPr>
                                <w:sz w:val="18"/>
                                <w:szCs w:val="18"/>
                              </w:rPr>
                              <w:t>Due to insufficient evidence supporting the use of antibiotics to treat periapical abscess, irreversible pulpitis, or symptomatic apical periodontitis, which are treated effectively through drainage by means of pulpectomy, incision, local debridement or extraction, antibiotics should not be prescribed.</w:t>
                            </w:r>
                            <w:r w:rsidRPr="006D4A09">
                              <w:rPr>
                                <w:sz w:val="18"/>
                                <w:szCs w:val="18"/>
                                <w:vertAlign w:val="superscript"/>
                              </w:rPr>
                              <w:t>2-5</w:t>
                            </w:r>
                            <w:r w:rsidRPr="006D4A09">
                              <w:rPr>
                                <w:sz w:val="18"/>
                                <w:szCs w:val="18"/>
                              </w:rPr>
                              <w:t xml:space="preserve">  An exception to this would be if the patient seeks care with evidence of systemic involvement, as well as a gross, rapid, and diffuse spread of infection.</w:t>
                            </w:r>
                            <w:r w:rsidRPr="006D4A09">
                              <w:rPr>
                                <w:sz w:val="18"/>
                                <w:szCs w:val="18"/>
                                <w:vertAlign w:val="superscript"/>
                              </w:rPr>
                              <w:t>2-3,6</w:t>
                            </w:r>
                          </w:p>
                          <w:p w:rsidR="006D4A09" w:rsidRPr="006D4A09" w:rsidRDefault="006D4A09" w:rsidP="006D4A09">
                            <w:pPr>
                              <w:pStyle w:val="ListParagraph"/>
                              <w:numPr>
                                <w:ilvl w:val="0"/>
                                <w:numId w:val="14"/>
                              </w:numPr>
                              <w:rPr>
                                <w:sz w:val="18"/>
                                <w:szCs w:val="18"/>
                              </w:rPr>
                            </w:pPr>
                            <w:r w:rsidRPr="006D4A09">
                              <w:rPr>
                                <w:sz w:val="18"/>
                                <w:szCs w:val="18"/>
                              </w:rPr>
                              <w:t>For the treatment of pericoronitis, dentists should prescribe antibiotics only when immediate surgical removal is impossible (for example, significant trismus) and there is an acute spreading infection; otherwise, symptoms associated with pericoronitis can be improved by means of local oral irrigation measures, chlorhexidine mouthrinse, and analgesics.</w:t>
                            </w:r>
                            <w:r w:rsidRPr="006D4A09">
                              <w:rPr>
                                <w:sz w:val="18"/>
                                <w:szCs w:val="18"/>
                                <w:vertAlign w:val="superscript"/>
                              </w:rPr>
                              <w:t>7</w:t>
                            </w:r>
                          </w:p>
                          <w:p w:rsidR="006D4A09" w:rsidRPr="006D4A09" w:rsidRDefault="006D4A09" w:rsidP="006D4A09">
                            <w:pPr>
                              <w:pStyle w:val="ListParagraph"/>
                              <w:numPr>
                                <w:ilvl w:val="0"/>
                                <w:numId w:val="14"/>
                              </w:numPr>
                              <w:rPr>
                                <w:sz w:val="18"/>
                                <w:szCs w:val="18"/>
                              </w:rPr>
                            </w:pPr>
                            <w:r w:rsidRPr="006D4A09">
                              <w:rPr>
                                <w:sz w:val="18"/>
                                <w:szCs w:val="18"/>
                              </w:rPr>
                              <w:t>Antibiotics are not indicated for the treatment of dry socket because it is not an infection.  Treatment of dry socket should include site irrigation with saline or chlorhexidine, a dressing material to control the pain, analgesics, and the maintenance of proper oral hygiene.</w:t>
                            </w:r>
                            <w:r w:rsidRPr="006D4A09">
                              <w:rPr>
                                <w:sz w:val="18"/>
                                <w:szCs w:val="18"/>
                                <w:vertAlign w:val="superscript"/>
                              </w:rPr>
                              <w:t>8</w:t>
                            </w:r>
                          </w:p>
                          <w:p w:rsidR="006D4A09" w:rsidRPr="006D4A09" w:rsidRDefault="006D4A09" w:rsidP="006D4A09">
                            <w:pPr>
                              <w:pStyle w:val="ListParagraph"/>
                              <w:numPr>
                                <w:ilvl w:val="0"/>
                                <w:numId w:val="14"/>
                              </w:numPr>
                              <w:rPr>
                                <w:sz w:val="18"/>
                                <w:szCs w:val="18"/>
                              </w:rPr>
                            </w:pPr>
                            <w:r w:rsidRPr="006D4A09">
                              <w:rPr>
                                <w:sz w:val="18"/>
                                <w:szCs w:val="18"/>
                              </w:rPr>
                              <w:t>For the treatment of sinusitis, dentists should advise the patient to seek care from their primary care physician. Because of the self-limiting, likely viral nature of this condition, antibiotics are generally not indicated.</w:t>
                            </w:r>
                            <w:r w:rsidRPr="006D4A09">
                              <w:rPr>
                                <w:sz w:val="18"/>
                                <w:szCs w:val="18"/>
                                <w:vertAlign w:val="superscript"/>
                              </w:rPr>
                              <w:t>9</w:t>
                            </w:r>
                          </w:p>
                          <w:p w:rsidR="006D4A09" w:rsidRPr="006D4A09" w:rsidRDefault="006D4A09" w:rsidP="006D4A09">
                            <w:pPr>
                              <w:spacing w:after="0" w:line="240" w:lineRule="auto"/>
                              <w:rPr>
                                <w:sz w:val="18"/>
                                <w:szCs w:val="18"/>
                              </w:rPr>
                            </w:pPr>
                            <w:r w:rsidRPr="006D4A09">
                              <w:rPr>
                                <w:sz w:val="18"/>
                                <w:szCs w:val="18"/>
                              </w:rPr>
                              <w:t>References:</w:t>
                            </w:r>
                          </w:p>
                          <w:p w:rsidR="006D4A09" w:rsidRPr="006D4A09" w:rsidRDefault="006D4A09" w:rsidP="006D4A09">
                            <w:pPr>
                              <w:pStyle w:val="NormalWeb"/>
                              <w:spacing w:before="0" w:beforeAutospacing="0" w:after="0" w:afterAutospacing="0"/>
                              <w:rPr>
                                <w:rFonts w:asciiTheme="minorHAnsi" w:hAnsiTheme="minorHAnsi"/>
                                <w:color w:val="000000"/>
                                <w:sz w:val="14"/>
                                <w:szCs w:val="14"/>
                              </w:rPr>
                            </w:pPr>
                            <w:r w:rsidRPr="006D4A09">
                              <w:rPr>
                                <w:sz w:val="14"/>
                                <w:szCs w:val="14"/>
                                <w:vertAlign w:val="superscript"/>
                              </w:rPr>
                              <w:t>1</w:t>
                            </w:r>
                            <w:r w:rsidRPr="006D4A09">
                              <w:rPr>
                                <w:rFonts w:asciiTheme="minorHAnsi" w:hAnsiTheme="minorHAnsi"/>
                                <w:color w:val="000000"/>
                                <w:sz w:val="14"/>
                                <w:szCs w:val="14"/>
                              </w:rPr>
                              <w:t xml:space="preserve">Stein K, Farmer J, </w:t>
                            </w:r>
                            <w:proofErr w:type="spellStart"/>
                            <w:r w:rsidRPr="006D4A09">
                              <w:rPr>
                                <w:rFonts w:asciiTheme="minorHAnsi" w:hAnsiTheme="minorHAnsi"/>
                                <w:color w:val="000000"/>
                                <w:sz w:val="14"/>
                                <w:szCs w:val="14"/>
                              </w:rPr>
                              <w:t>Singhal</w:t>
                            </w:r>
                            <w:proofErr w:type="spellEnd"/>
                            <w:r w:rsidRPr="006D4A09">
                              <w:rPr>
                                <w:rFonts w:asciiTheme="minorHAnsi" w:hAnsiTheme="minorHAnsi"/>
                                <w:color w:val="000000"/>
                                <w:sz w:val="14"/>
                                <w:szCs w:val="14"/>
                              </w:rPr>
                              <w:t xml:space="preserve"> S, </w:t>
                            </w:r>
                            <w:proofErr w:type="spellStart"/>
                            <w:r w:rsidRPr="006D4A09">
                              <w:rPr>
                                <w:rFonts w:asciiTheme="minorHAnsi" w:hAnsiTheme="minorHAnsi"/>
                                <w:color w:val="000000"/>
                                <w:sz w:val="14"/>
                                <w:szCs w:val="14"/>
                              </w:rPr>
                              <w:t>Marra</w:t>
                            </w:r>
                            <w:proofErr w:type="spellEnd"/>
                            <w:r w:rsidRPr="006D4A09">
                              <w:rPr>
                                <w:rFonts w:asciiTheme="minorHAnsi" w:hAnsiTheme="minorHAnsi"/>
                                <w:color w:val="000000"/>
                                <w:sz w:val="14"/>
                                <w:szCs w:val="14"/>
                              </w:rPr>
                              <w:t xml:space="preserve"> F, Sutherland S, </w:t>
                            </w:r>
                            <w:proofErr w:type="spellStart"/>
                            <w:r w:rsidRPr="006D4A09">
                              <w:rPr>
                                <w:rFonts w:asciiTheme="minorHAnsi" w:hAnsiTheme="minorHAnsi"/>
                                <w:color w:val="000000"/>
                                <w:sz w:val="14"/>
                                <w:szCs w:val="14"/>
                              </w:rPr>
                              <w:t>Quinonez</w:t>
                            </w:r>
                            <w:proofErr w:type="spellEnd"/>
                            <w:r w:rsidRPr="006D4A09">
                              <w:rPr>
                                <w:rFonts w:asciiTheme="minorHAnsi" w:hAnsiTheme="minorHAnsi"/>
                                <w:color w:val="000000"/>
                                <w:sz w:val="14"/>
                                <w:szCs w:val="14"/>
                              </w:rPr>
                              <w:t xml:space="preserve"> C. The use and misuse of antibiotics in dentistry: a scoping review. </w:t>
                            </w:r>
                            <w:proofErr w:type="gramStart"/>
                            <w:r w:rsidRPr="006D4A09">
                              <w:rPr>
                                <w:rFonts w:asciiTheme="minorHAnsi" w:hAnsiTheme="minorHAnsi"/>
                                <w:color w:val="000000"/>
                                <w:sz w:val="14"/>
                                <w:szCs w:val="14"/>
                              </w:rPr>
                              <w:t>JADA.</w:t>
                            </w:r>
                            <w:proofErr w:type="gramEnd"/>
                            <w:r w:rsidRPr="006D4A09">
                              <w:rPr>
                                <w:rFonts w:asciiTheme="minorHAnsi" w:hAnsiTheme="minorHAnsi"/>
                                <w:color w:val="000000"/>
                                <w:sz w:val="14"/>
                                <w:szCs w:val="14"/>
                              </w:rPr>
                              <w:t xml:space="preserve"> 2018</w:t>
                            </w:r>
                            <w:proofErr w:type="gramStart"/>
                            <w:r w:rsidRPr="006D4A09">
                              <w:rPr>
                                <w:rFonts w:asciiTheme="minorHAnsi" w:hAnsiTheme="minorHAnsi"/>
                                <w:color w:val="000000"/>
                                <w:sz w:val="14"/>
                                <w:szCs w:val="14"/>
                              </w:rPr>
                              <w:t>;149</w:t>
                            </w:r>
                            <w:proofErr w:type="gramEnd"/>
                            <w:r w:rsidRPr="006D4A09">
                              <w:rPr>
                                <w:rFonts w:asciiTheme="minorHAnsi" w:hAnsiTheme="minorHAnsi"/>
                                <w:color w:val="000000"/>
                                <w:sz w:val="14"/>
                                <w:szCs w:val="14"/>
                              </w:rPr>
                              <w:t>(10):869-884 e5.</w:t>
                            </w:r>
                          </w:p>
                          <w:p w:rsidR="006D4A09" w:rsidRPr="006D4A09" w:rsidRDefault="006D4A09" w:rsidP="006D4A09">
                            <w:pPr>
                              <w:spacing w:after="0" w:line="240" w:lineRule="auto"/>
                              <w:rPr>
                                <w:color w:val="000000"/>
                                <w:sz w:val="14"/>
                                <w:szCs w:val="14"/>
                              </w:rPr>
                            </w:pPr>
                            <w:r w:rsidRPr="006D4A09">
                              <w:rPr>
                                <w:sz w:val="14"/>
                                <w:szCs w:val="14"/>
                                <w:vertAlign w:val="superscript"/>
                              </w:rPr>
                              <w:t>2</w:t>
                            </w:r>
                            <w:r w:rsidRPr="006D4A09">
                              <w:rPr>
                                <w:color w:val="000000"/>
                                <w:sz w:val="14"/>
                                <w:szCs w:val="14"/>
                              </w:rPr>
                              <w:t xml:space="preserve">Lockhart PB, </w:t>
                            </w:r>
                            <w:proofErr w:type="spellStart"/>
                            <w:r w:rsidRPr="006D4A09">
                              <w:rPr>
                                <w:color w:val="000000"/>
                                <w:sz w:val="14"/>
                                <w:szCs w:val="14"/>
                              </w:rPr>
                              <w:t>Tampi</w:t>
                            </w:r>
                            <w:proofErr w:type="spellEnd"/>
                            <w:r w:rsidRPr="006D4A09">
                              <w:rPr>
                                <w:color w:val="000000"/>
                                <w:sz w:val="14"/>
                                <w:szCs w:val="14"/>
                              </w:rPr>
                              <w:t xml:space="preserve"> MP, </w:t>
                            </w:r>
                            <w:proofErr w:type="spellStart"/>
                            <w:r w:rsidRPr="006D4A09">
                              <w:rPr>
                                <w:color w:val="000000"/>
                                <w:sz w:val="14"/>
                                <w:szCs w:val="14"/>
                              </w:rPr>
                              <w:t>Abt</w:t>
                            </w:r>
                            <w:proofErr w:type="spellEnd"/>
                            <w:r w:rsidRPr="006D4A09">
                              <w:rPr>
                                <w:color w:val="000000"/>
                                <w:sz w:val="14"/>
                                <w:szCs w:val="14"/>
                              </w:rPr>
                              <w:t xml:space="preserve"> E et al. Evidence-based clinical practice guideline on antibiotic use for the urgent management of pulpal- and periapical-related dental pain and intraoral swelling. </w:t>
                            </w:r>
                            <w:proofErr w:type="gramStart"/>
                            <w:r w:rsidRPr="006D4A09">
                              <w:rPr>
                                <w:color w:val="000000"/>
                                <w:sz w:val="14"/>
                                <w:szCs w:val="14"/>
                              </w:rPr>
                              <w:t>JADA.</w:t>
                            </w:r>
                            <w:proofErr w:type="gramEnd"/>
                            <w:r w:rsidRPr="006D4A09">
                              <w:rPr>
                                <w:color w:val="000000"/>
                                <w:sz w:val="14"/>
                                <w:szCs w:val="14"/>
                              </w:rPr>
                              <w:t xml:space="preserve"> 2019:150(11)</w:t>
                            </w:r>
                            <w:proofErr w:type="gramStart"/>
                            <w:r w:rsidRPr="006D4A09">
                              <w:rPr>
                                <w:color w:val="000000"/>
                                <w:sz w:val="14"/>
                                <w:szCs w:val="14"/>
                              </w:rPr>
                              <w:t>;906</w:t>
                            </w:r>
                            <w:proofErr w:type="gramEnd"/>
                            <w:r w:rsidRPr="006D4A09">
                              <w:rPr>
                                <w:color w:val="000000"/>
                                <w:sz w:val="14"/>
                                <w:szCs w:val="14"/>
                              </w:rPr>
                              <w:t>-921.e12.</w:t>
                            </w:r>
                          </w:p>
                          <w:p w:rsidR="006D4A09" w:rsidRPr="006D4A09" w:rsidRDefault="006D4A09" w:rsidP="006D4A09">
                            <w:pPr>
                              <w:spacing w:after="0" w:line="240" w:lineRule="auto"/>
                              <w:rPr>
                                <w:sz w:val="14"/>
                                <w:szCs w:val="14"/>
                              </w:rPr>
                            </w:pPr>
                            <w:proofErr w:type="gramStart"/>
                            <w:r w:rsidRPr="006D4A09">
                              <w:rPr>
                                <w:sz w:val="14"/>
                                <w:szCs w:val="14"/>
                                <w:vertAlign w:val="superscript"/>
                              </w:rPr>
                              <w:t>3</w:t>
                            </w:r>
                            <w:r w:rsidRPr="006D4A09">
                              <w:rPr>
                                <w:sz w:val="14"/>
                                <w:szCs w:val="14"/>
                              </w:rPr>
                              <w:t>American Association of Endodontists.</w:t>
                            </w:r>
                            <w:proofErr w:type="gramEnd"/>
                            <w:r w:rsidRPr="006D4A09">
                              <w:rPr>
                                <w:sz w:val="14"/>
                                <w:szCs w:val="14"/>
                              </w:rPr>
                              <w:t xml:space="preserve">  </w:t>
                            </w:r>
                            <w:proofErr w:type="gramStart"/>
                            <w:r w:rsidRPr="006D4A09">
                              <w:rPr>
                                <w:sz w:val="14"/>
                                <w:szCs w:val="14"/>
                              </w:rPr>
                              <w:t>AAE guidance on the use of systemic antibiotics in endodontics.</w:t>
                            </w:r>
                            <w:proofErr w:type="gramEnd"/>
                            <w:r w:rsidRPr="006D4A09">
                              <w:rPr>
                                <w:sz w:val="14"/>
                                <w:szCs w:val="14"/>
                              </w:rPr>
                              <w:t xml:space="preserve">  Available at:  </w:t>
                            </w:r>
                            <w:hyperlink r:id="rId12" w:history="1">
                              <w:r w:rsidRPr="006D4A09">
                                <w:rPr>
                                  <w:rStyle w:val="Hyperlink"/>
                                  <w:color w:val="auto"/>
                                  <w:sz w:val="14"/>
                                  <w:szCs w:val="14"/>
                                  <w:u w:val="none"/>
                                </w:rPr>
                                <w:t>https://www.aae.org/specialty/wp-content/uploads/sites/2/2017/06/aae_systemic-antibiotics.pdf</w:t>
                              </w:r>
                            </w:hyperlink>
                            <w:r w:rsidRPr="006D4A09">
                              <w:rPr>
                                <w:sz w:val="14"/>
                                <w:szCs w:val="14"/>
                              </w:rPr>
                              <w:t xml:space="preserve">. </w:t>
                            </w:r>
                            <w:proofErr w:type="gramStart"/>
                            <w:r w:rsidRPr="006D4A09">
                              <w:rPr>
                                <w:sz w:val="14"/>
                                <w:szCs w:val="14"/>
                              </w:rPr>
                              <w:t>Accessed January 8, 2020.</w:t>
                            </w:r>
                            <w:proofErr w:type="gramEnd"/>
                          </w:p>
                          <w:p w:rsidR="006D4A09" w:rsidRPr="006D4A09" w:rsidRDefault="006D4A09" w:rsidP="006D4A09">
                            <w:pPr>
                              <w:spacing w:after="0" w:line="240" w:lineRule="auto"/>
                              <w:rPr>
                                <w:sz w:val="14"/>
                                <w:szCs w:val="14"/>
                              </w:rPr>
                            </w:pPr>
                            <w:proofErr w:type="gramStart"/>
                            <w:r w:rsidRPr="006D4A09">
                              <w:rPr>
                                <w:sz w:val="14"/>
                                <w:szCs w:val="14"/>
                                <w:vertAlign w:val="superscript"/>
                              </w:rPr>
                              <w:t>4</w:t>
                            </w:r>
                            <w:r w:rsidRPr="006D4A09">
                              <w:rPr>
                                <w:sz w:val="14"/>
                                <w:szCs w:val="14"/>
                              </w:rPr>
                              <w:t xml:space="preserve">Agnihotry A, </w:t>
                            </w:r>
                            <w:proofErr w:type="spellStart"/>
                            <w:r w:rsidRPr="006D4A09">
                              <w:rPr>
                                <w:sz w:val="14"/>
                                <w:szCs w:val="14"/>
                              </w:rPr>
                              <w:t>Fedorowicz</w:t>
                            </w:r>
                            <w:proofErr w:type="spellEnd"/>
                            <w:r w:rsidRPr="006D4A09">
                              <w:rPr>
                                <w:sz w:val="14"/>
                                <w:szCs w:val="14"/>
                              </w:rPr>
                              <w:t xml:space="preserve"> A, van </w:t>
                            </w:r>
                            <w:proofErr w:type="spellStart"/>
                            <w:r w:rsidRPr="006D4A09">
                              <w:rPr>
                                <w:sz w:val="14"/>
                                <w:szCs w:val="14"/>
                              </w:rPr>
                              <w:t>Zuuren</w:t>
                            </w:r>
                            <w:proofErr w:type="spellEnd"/>
                            <w:r w:rsidRPr="006D4A09">
                              <w:rPr>
                                <w:sz w:val="14"/>
                                <w:szCs w:val="14"/>
                              </w:rPr>
                              <w:t xml:space="preserve"> EJ, et al.</w:t>
                            </w:r>
                            <w:proofErr w:type="gramEnd"/>
                            <w:r w:rsidRPr="006D4A09">
                              <w:rPr>
                                <w:sz w:val="14"/>
                                <w:szCs w:val="14"/>
                              </w:rPr>
                              <w:t xml:space="preserve">  </w:t>
                            </w:r>
                            <w:proofErr w:type="gramStart"/>
                            <w:r w:rsidRPr="006D4A09">
                              <w:rPr>
                                <w:sz w:val="14"/>
                                <w:szCs w:val="14"/>
                              </w:rPr>
                              <w:t>Antibiotic use for irreversible pulpitis.</w:t>
                            </w:r>
                            <w:proofErr w:type="gramEnd"/>
                            <w:r w:rsidRPr="006D4A09">
                              <w:rPr>
                                <w:sz w:val="14"/>
                                <w:szCs w:val="14"/>
                              </w:rPr>
                              <w:t xml:space="preserve">  Cochrane Database </w:t>
                            </w:r>
                            <w:proofErr w:type="spellStart"/>
                            <w:r w:rsidRPr="006D4A09">
                              <w:rPr>
                                <w:sz w:val="14"/>
                                <w:szCs w:val="14"/>
                              </w:rPr>
                              <w:t>Syst</w:t>
                            </w:r>
                            <w:proofErr w:type="spellEnd"/>
                            <w:r w:rsidRPr="006D4A09">
                              <w:rPr>
                                <w:sz w:val="14"/>
                                <w:szCs w:val="14"/>
                              </w:rPr>
                              <w:t xml:space="preserve"> Dev. 2016</w:t>
                            </w:r>
                            <w:proofErr w:type="gramStart"/>
                            <w:r w:rsidRPr="006D4A09">
                              <w:rPr>
                                <w:sz w:val="14"/>
                                <w:szCs w:val="14"/>
                              </w:rPr>
                              <w:t>;2:CD004969</w:t>
                            </w:r>
                            <w:proofErr w:type="gramEnd"/>
                            <w:r w:rsidRPr="006D4A09">
                              <w:rPr>
                                <w:sz w:val="14"/>
                                <w:szCs w:val="14"/>
                              </w:rPr>
                              <w:t>.</w:t>
                            </w:r>
                          </w:p>
                          <w:p w:rsidR="006D4A09" w:rsidRPr="006D4A09" w:rsidRDefault="006D4A09" w:rsidP="006D4A09">
                            <w:pPr>
                              <w:spacing w:after="0" w:line="240" w:lineRule="auto"/>
                              <w:rPr>
                                <w:sz w:val="14"/>
                                <w:szCs w:val="14"/>
                              </w:rPr>
                            </w:pPr>
                            <w:proofErr w:type="gramStart"/>
                            <w:r w:rsidRPr="006D4A09">
                              <w:rPr>
                                <w:sz w:val="14"/>
                                <w:szCs w:val="14"/>
                                <w:vertAlign w:val="superscript"/>
                              </w:rPr>
                              <w:t>5</w:t>
                            </w:r>
                            <w:r w:rsidRPr="006D4A09">
                              <w:rPr>
                                <w:sz w:val="14"/>
                                <w:szCs w:val="14"/>
                              </w:rPr>
                              <w:t>Cope A, Francis N, Wood F, et al.</w:t>
                            </w:r>
                            <w:proofErr w:type="gramEnd"/>
                            <w:r w:rsidRPr="006D4A09">
                              <w:rPr>
                                <w:sz w:val="14"/>
                                <w:szCs w:val="14"/>
                              </w:rPr>
                              <w:t xml:space="preserve">  </w:t>
                            </w:r>
                            <w:proofErr w:type="gramStart"/>
                            <w:r w:rsidRPr="006D4A09">
                              <w:rPr>
                                <w:sz w:val="14"/>
                                <w:szCs w:val="14"/>
                              </w:rPr>
                              <w:t>Systemic antibiotics for symptomatic apical peridontitis and acute apical abscess in adults.</w:t>
                            </w:r>
                            <w:proofErr w:type="gramEnd"/>
                            <w:r w:rsidRPr="006D4A09">
                              <w:rPr>
                                <w:sz w:val="14"/>
                                <w:szCs w:val="14"/>
                              </w:rPr>
                              <w:t xml:space="preserve">  Cochrane Database </w:t>
                            </w:r>
                            <w:proofErr w:type="spellStart"/>
                            <w:r w:rsidRPr="006D4A09">
                              <w:rPr>
                                <w:sz w:val="14"/>
                                <w:szCs w:val="14"/>
                              </w:rPr>
                              <w:t>Syst</w:t>
                            </w:r>
                            <w:proofErr w:type="spellEnd"/>
                            <w:r w:rsidRPr="006D4A09">
                              <w:rPr>
                                <w:sz w:val="14"/>
                                <w:szCs w:val="14"/>
                              </w:rPr>
                              <w:t xml:space="preserve"> Rev. 2014</w:t>
                            </w:r>
                            <w:proofErr w:type="gramStart"/>
                            <w:r w:rsidRPr="006D4A09">
                              <w:rPr>
                                <w:sz w:val="14"/>
                                <w:szCs w:val="14"/>
                              </w:rPr>
                              <w:t>;6:CD010136</w:t>
                            </w:r>
                            <w:proofErr w:type="gramEnd"/>
                            <w:r w:rsidRPr="006D4A09">
                              <w:rPr>
                                <w:sz w:val="14"/>
                                <w:szCs w:val="14"/>
                              </w:rPr>
                              <w:t>.</w:t>
                            </w:r>
                          </w:p>
                          <w:p w:rsidR="006D4A09" w:rsidRPr="006D4A09" w:rsidRDefault="006D4A09" w:rsidP="006D4A09">
                            <w:pPr>
                              <w:spacing w:after="0" w:line="240" w:lineRule="auto"/>
                              <w:rPr>
                                <w:sz w:val="14"/>
                                <w:szCs w:val="14"/>
                              </w:rPr>
                            </w:pPr>
                            <w:proofErr w:type="gramStart"/>
                            <w:r w:rsidRPr="006D4A09">
                              <w:rPr>
                                <w:sz w:val="14"/>
                                <w:szCs w:val="14"/>
                                <w:vertAlign w:val="superscript"/>
                              </w:rPr>
                              <w:t>6</w:t>
                            </w:r>
                            <w:r w:rsidRPr="006D4A09">
                              <w:rPr>
                                <w:sz w:val="14"/>
                                <w:szCs w:val="14"/>
                              </w:rPr>
                              <w:t>Palmer NA.</w:t>
                            </w:r>
                            <w:proofErr w:type="gramEnd"/>
                            <w:r w:rsidRPr="006D4A09">
                              <w:rPr>
                                <w:sz w:val="14"/>
                                <w:szCs w:val="14"/>
                              </w:rPr>
                              <w:t xml:space="preserve">  </w:t>
                            </w:r>
                            <w:proofErr w:type="gramStart"/>
                            <w:r w:rsidRPr="006D4A09">
                              <w:rPr>
                                <w:sz w:val="14"/>
                                <w:szCs w:val="14"/>
                              </w:rPr>
                              <w:t>Revisiting the role of dentists in prescribing antibiotics.</w:t>
                            </w:r>
                            <w:proofErr w:type="gramEnd"/>
                            <w:r w:rsidRPr="006D4A09">
                              <w:rPr>
                                <w:sz w:val="14"/>
                                <w:szCs w:val="14"/>
                              </w:rPr>
                              <w:t xml:space="preserve">  Dent Update. 2003</w:t>
                            </w:r>
                            <w:proofErr w:type="gramStart"/>
                            <w:r w:rsidRPr="006D4A09">
                              <w:rPr>
                                <w:sz w:val="14"/>
                                <w:szCs w:val="14"/>
                              </w:rPr>
                              <w:t>;30</w:t>
                            </w:r>
                            <w:proofErr w:type="gramEnd"/>
                            <w:r w:rsidRPr="006D4A09">
                              <w:rPr>
                                <w:sz w:val="14"/>
                                <w:szCs w:val="14"/>
                              </w:rPr>
                              <w:t>(10):570-574.</w:t>
                            </w:r>
                          </w:p>
                          <w:p w:rsidR="006D4A09" w:rsidRPr="006D4A09" w:rsidRDefault="006D4A09" w:rsidP="006D4A09">
                            <w:pPr>
                              <w:spacing w:after="0" w:line="240" w:lineRule="auto"/>
                              <w:rPr>
                                <w:sz w:val="14"/>
                                <w:szCs w:val="14"/>
                              </w:rPr>
                            </w:pPr>
                            <w:proofErr w:type="gramStart"/>
                            <w:r w:rsidRPr="006D4A09">
                              <w:rPr>
                                <w:sz w:val="14"/>
                                <w:szCs w:val="14"/>
                                <w:vertAlign w:val="superscript"/>
                              </w:rPr>
                              <w:t>7</w:t>
                            </w:r>
                            <w:r w:rsidRPr="006D4A09">
                              <w:rPr>
                                <w:sz w:val="14"/>
                                <w:szCs w:val="14"/>
                              </w:rPr>
                              <w:t>Renton T, Wilson NHF.</w:t>
                            </w:r>
                            <w:proofErr w:type="gramEnd"/>
                            <w:r w:rsidRPr="006D4A09">
                              <w:rPr>
                                <w:sz w:val="14"/>
                                <w:szCs w:val="14"/>
                              </w:rPr>
                              <w:t xml:space="preserve">  Problems with erupting wisdom teeth: signs, symptoms and management.  </w:t>
                            </w:r>
                            <w:proofErr w:type="gramStart"/>
                            <w:r w:rsidRPr="006D4A09">
                              <w:rPr>
                                <w:sz w:val="14"/>
                                <w:szCs w:val="14"/>
                              </w:rPr>
                              <w:t xml:space="preserve">Br J Gen </w:t>
                            </w:r>
                            <w:proofErr w:type="spellStart"/>
                            <w:r w:rsidRPr="006D4A09">
                              <w:rPr>
                                <w:sz w:val="14"/>
                                <w:szCs w:val="14"/>
                              </w:rPr>
                              <w:t>Pract</w:t>
                            </w:r>
                            <w:proofErr w:type="spellEnd"/>
                            <w:r w:rsidRPr="006D4A09">
                              <w:rPr>
                                <w:sz w:val="14"/>
                                <w:szCs w:val="14"/>
                              </w:rPr>
                              <w:t>.</w:t>
                            </w:r>
                            <w:proofErr w:type="gramEnd"/>
                            <w:r w:rsidRPr="006D4A09">
                              <w:rPr>
                                <w:sz w:val="14"/>
                                <w:szCs w:val="14"/>
                              </w:rPr>
                              <w:t xml:space="preserve"> 2016</w:t>
                            </w:r>
                            <w:proofErr w:type="gramStart"/>
                            <w:r w:rsidRPr="006D4A09">
                              <w:rPr>
                                <w:sz w:val="14"/>
                                <w:szCs w:val="14"/>
                              </w:rPr>
                              <w:t>;66:e606</w:t>
                            </w:r>
                            <w:proofErr w:type="gramEnd"/>
                            <w:r w:rsidRPr="006D4A09">
                              <w:rPr>
                                <w:sz w:val="14"/>
                                <w:szCs w:val="14"/>
                              </w:rPr>
                              <w:t>-3608.</w:t>
                            </w:r>
                          </w:p>
                          <w:p w:rsidR="006D4A09" w:rsidRPr="006D4A09" w:rsidRDefault="006D4A09" w:rsidP="006D4A09">
                            <w:pPr>
                              <w:spacing w:after="0" w:line="240" w:lineRule="auto"/>
                              <w:rPr>
                                <w:sz w:val="14"/>
                                <w:szCs w:val="14"/>
                              </w:rPr>
                            </w:pPr>
                            <w:proofErr w:type="gramStart"/>
                            <w:r w:rsidRPr="006D4A09">
                              <w:rPr>
                                <w:sz w:val="14"/>
                                <w:szCs w:val="14"/>
                                <w:vertAlign w:val="superscript"/>
                              </w:rPr>
                              <w:t>8</w:t>
                            </w:r>
                            <w:r w:rsidRPr="006D4A09">
                              <w:rPr>
                                <w:sz w:val="14"/>
                                <w:szCs w:val="14"/>
                              </w:rPr>
                              <w:t>Chemaly D.</w:t>
                            </w:r>
                            <w:proofErr w:type="gramEnd"/>
                            <w:r w:rsidRPr="006D4A09">
                              <w:rPr>
                                <w:sz w:val="14"/>
                                <w:szCs w:val="14"/>
                              </w:rPr>
                              <w:t xml:space="preserve">  How do I manage a patient with dry socket? J Can Dent Assoc. 2013</w:t>
                            </w:r>
                            <w:proofErr w:type="gramStart"/>
                            <w:r w:rsidRPr="006D4A09">
                              <w:rPr>
                                <w:sz w:val="14"/>
                                <w:szCs w:val="14"/>
                              </w:rPr>
                              <w:t>;79:d54</w:t>
                            </w:r>
                            <w:proofErr w:type="gramEnd"/>
                            <w:r w:rsidRPr="006D4A09">
                              <w:rPr>
                                <w:sz w:val="14"/>
                                <w:szCs w:val="14"/>
                              </w:rPr>
                              <w:t>.</w:t>
                            </w:r>
                          </w:p>
                          <w:p w:rsidR="006D4A09" w:rsidRDefault="006D4A09" w:rsidP="006D4A09">
                            <w:pPr>
                              <w:spacing w:after="0" w:line="240" w:lineRule="auto"/>
                              <w:rPr>
                                <w:sz w:val="14"/>
                                <w:szCs w:val="14"/>
                              </w:rPr>
                            </w:pPr>
                            <w:proofErr w:type="gramStart"/>
                            <w:r w:rsidRPr="006D4A09">
                              <w:rPr>
                                <w:sz w:val="14"/>
                                <w:szCs w:val="14"/>
                                <w:vertAlign w:val="superscript"/>
                              </w:rPr>
                              <w:t>9</w:t>
                            </w:r>
                            <w:r w:rsidRPr="006D4A09">
                              <w:rPr>
                                <w:sz w:val="14"/>
                                <w:szCs w:val="14"/>
                              </w:rPr>
                              <w:t xml:space="preserve">Scottish Dental Clinical Effectiveness </w:t>
                            </w:r>
                            <w:proofErr w:type="spellStart"/>
                            <w:r w:rsidRPr="006D4A09">
                              <w:rPr>
                                <w:sz w:val="14"/>
                                <w:szCs w:val="14"/>
                              </w:rPr>
                              <w:t>Programme</w:t>
                            </w:r>
                            <w:proofErr w:type="spellEnd"/>
                            <w:r w:rsidRPr="006D4A09">
                              <w:rPr>
                                <w:sz w:val="14"/>
                                <w:szCs w:val="14"/>
                              </w:rPr>
                              <w:t>.</w:t>
                            </w:r>
                            <w:proofErr w:type="gramEnd"/>
                            <w:r w:rsidRPr="006D4A09">
                              <w:rPr>
                                <w:sz w:val="14"/>
                                <w:szCs w:val="14"/>
                              </w:rPr>
                              <w:t xml:space="preserve">  Drug Prescribing in Dentistry: Dental Clinical Guidance. 3</w:t>
                            </w:r>
                            <w:r w:rsidRPr="006D4A09">
                              <w:rPr>
                                <w:sz w:val="14"/>
                                <w:szCs w:val="14"/>
                                <w:vertAlign w:val="superscript"/>
                              </w:rPr>
                              <w:t>rd</w:t>
                            </w:r>
                            <w:r w:rsidRPr="006D4A09">
                              <w:rPr>
                                <w:sz w:val="14"/>
                                <w:szCs w:val="14"/>
                              </w:rPr>
                              <w:t xml:space="preserve"> ed. Dundee, United Kingdom: Scottish Dental Clinical Effectiveness </w:t>
                            </w:r>
                            <w:proofErr w:type="spellStart"/>
                            <w:r w:rsidRPr="006D4A09">
                              <w:rPr>
                                <w:sz w:val="14"/>
                                <w:szCs w:val="14"/>
                              </w:rPr>
                              <w:t>Programme</w:t>
                            </w:r>
                            <w:proofErr w:type="spellEnd"/>
                            <w:r w:rsidRPr="006D4A09">
                              <w:rPr>
                                <w:sz w:val="14"/>
                                <w:szCs w:val="14"/>
                              </w:rPr>
                              <w:t>: 2016.</w:t>
                            </w:r>
                          </w:p>
                          <w:p w:rsidR="00592CBE" w:rsidRDefault="00592CBE" w:rsidP="006D4A09">
                            <w:pPr>
                              <w:spacing w:after="0" w:line="240" w:lineRule="auto"/>
                              <w:rPr>
                                <w:sz w:val="14"/>
                                <w:szCs w:val="14"/>
                              </w:rPr>
                            </w:pPr>
                          </w:p>
                          <w:p w:rsidR="00592CBE" w:rsidRDefault="00592CBE" w:rsidP="006D4A09">
                            <w:pPr>
                              <w:spacing w:after="0" w:line="240" w:lineRule="auto"/>
                              <w:rPr>
                                <w:sz w:val="14"/>
                                <w:szCs w:val="14"/>
                              </w:rPr>
                            </w:pPr>
                          </w:p>
                          <w:p w:rsidR="00592CBE" w:rsidRDefault="00592CBE" w:rsidP="006D4A09">
                            <w:pPr>
                              <w:spacing w:after="0" w:line="240" w:lineRule="auto"/>
                              <w:rPr>
                                <w:sz w:val="14"/>
                                <w:szCs w:val="14"/>
                              </w:rPr>
                            </w:pPr>
                          </w:p>
                          <w:p w:rsidR="00592CBE" w:rsidRDefault="00592CBE" w:rsidP="006D4A09">
                            <w:pPr>
                              <w:spacing w:after="0" w:line="240" w:lineRule="auto"/>
                              <w:rPr>
                                <w:sz w:val="14"/>
                                <w:szCs w:val="14"/>
                              </w:rPr>
                            </w:pPr>
                          </w:p>
                          <w:p w:rsidR="00592CBE" w:rsidRDefault="00592CBE" w:rsidP="006D4A09">
                            <w:pPr>
                              <w:spacing w:after="0" w:line="240" w:lineRule="auto"/>
                              <w:rPr>
                                <w:sz w:val="14"/>
                                <w:szCs w:val="14"/>
                              </w:rPr>
                            </w:pPr>
                          </w:p>
                          <w:p w:rsidR="00592CBE" w:rsidRDefault="00592CBE" w:rsidP="006D4A09">
                            <w:pPr>
                              <w:spacing w:after="0" w:line="240" w:lineRule="auto"/>
                              <w:rPr>
                                <w:sz w:val="14"/>
                                <w:szCs w:val="14"/>
                              </w:rPr>
                            </w:pPr>
                          </w:p>
                          <w:p w:rsidR="00592CBE" w:rsidRDefault="00592CBE" w:rsidP="006D4A09">
                            <w:pPr>
                              <w:spacing w:after="0" w:line="240" w:lineRule="auto"/>
                              <w:rPr>
                                <w:sz w:val="14"/>
                                <w:szCs w:val="14"/>
                              </w:rPr>
                            </w:pPr>
                          </w:p>
                          <w:p w:rsidR="00592CBE" w:rsidRDefault="00592CBE" w:rsidP="006D4A09">
                            <w:pPr>
                              <w:spacing w:after="0" w:line="240" w:lineRule="auto"/>
                              <w:rPr>
                                <w:sz w:val="14"/>
                                <w:szCs w:val="14"/>
                              </w:rPr>
                            </w:pPr>
                          </w:p>
                          <w:p w:rsidR="00592CBE" w:rsidRPr="006D4A09" w:rsidRDefault="00592CBE" w:rsidP="006D4A09">
                            <w:pPr>
                              <w:spacing w:after="0" w:line="240" w:lineRule="auto"/>
                              <w:rPr>
                                <w:sz w:val="14"/>
                                <w:szCs w:val="14"/>
                              </w:rPr>
                            </w:pPr>
                          </w:p>
                          <w:p w:rsidR="006D4A09" w:rsidRPr="006D4A09" w:rsidRDefault="006D4A09">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95.1pt;margin-top:1.35pt;width:362.25pt;height:579.7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" fillcolor="white [3212]" strokecolor="white [3212]">
                <v:textbox>
                  <w:txbxContent>
                    <w:p w:rsidR="006D4A09" w:rsidRDefault="006D4A09" w:rsidP="006D4A09">
                      <w:pPr>
                        <w:jc w:val="center"/>
                        <w:rPr>
                          <w:b/>
                          <w:sz w:val="28"/>
                          <w:szCs w:val="28"/>
                        </w:rPr>
                      </w:pPr>
                      <w:r>
                        <w:rPr>
                          <w:b/>
                          <w:noProof/>
                        </w:rPr>
                        <w:drawing>
                          <wp:inline distT="0" distB="0" distL="0" distR="0" wp14:anchorId="0CB8453D" wp14:editId="1444E797">
                            <wp:extent cx="1838325" cy="714904"/>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3.jpg"/>
                                    <pic:cNvPicPr/>
                                  </pic:nvPicPr>
                                  <pic:blipFill>
                                    <a:blip r:embed="rId13">
                                      <a:extLst>
                                        <a:ext uri="{28A0092B-C50C-407E-A947-70E740481C1C}">
                                          <a14:useLocalDpi xmlns:a14="http://schemas.microsoft.com/office/drawing/2010/main" val="0"/>
                                        </a:ext>
                                      </a:extLst>
                                    </a:blip>
                                    <a:stretch>
                                      <a:fillRect/>
                                    </a:stretch>
                                  </pic:blipFill>
                                  <pic:spPr>
                                    <a:xfrm>
                                      <a:off x="0" y="0"/>
                                      <a:ext cx="1838325" cy="714904"/>
                                    </a:xfrm>
                                    <a:prstGeom prst="rect">
                                      <a:avLst/>
                                    </a:prstGeom>
                                  </pic:spPr>
                                </pic:pic>
                              </a:graphicData>
                            </a:graphic>
                          </wp:inline>
                        </w:drawing>
                      </w:r>
                    </w:p>
                    <w:p w:rsidR="006D4A09" w:rsidRPr="006D4A09" w:rsidRDefault="006D4A09" w:rsidP="006D4A09">
                      <w:pPr>
                        <w:jc w:val="center"/>
                        <w:rPr>
                          <w:b/>
                        </w:rPr>
                      </w:pPr>
                      <w:r w:rsidRPr="006D4A09">
                        <w:rPr>
                          <w:b/>
                        </w:rPr>
                        <w:t>Antibiotics Won’t Cure a Toothache!</w:t>
                      </w:r>
                    </w:p>
                    <w:p w:rsidR="006D4A09" w:rsidRPr="006D4A09" w:rsidRDefault="006D4A09" w:rsidP="006D4A09">
                      <w:pPr>
                        <w:rPr>
                          <w:b/>
                          <w:sz w:val="18"/>
                          <w:szCs w:val="18"/>
                        </w:rPr>
                      </w:pPr>
                      <w:r w:rsidRPr="006D4A09">
                        <w:rPr>
                          <w:sz w:val="18"/>
                          <w:szCs w:val="18"/>
                        </w:rPr>
                        <w:t>Patients need to understand that the use of antibiotics is not an acceptable treatment for almost all oral health-related problems, such as a “toothache”, and should be used only in cases of severe infection when systemic involvement is evident.</w:t>
                      </w:r>
                    </w:p>
                    <w:p w:rsidR="006D4A09" w:rsidRPr="006D4A09" w:rsidRDefault="006D4A09" w:rsidP="006D4A09">
                      <w:pPr>
                        <w:rPr>
                          <w:b/>
                          <w:sz w:val="18"/>
                          <w:szCs w:val="18"/>
                          <w:vertAlign w:val="superscript"/>
                        </w:rPr>
                      </w:pPr>
                      <w:r w:rsidRPr="006D4A09">
                        <w:rPr>
                          <w:b/>
                          <w:sz w:val="18"/>
                          <w:szCs w:val="18"/>
                        </w:rPr>
                        <w:t>Summary of Therapeutic Antibiotic Use in Dentistry</w:t>
                      </w:r>
                      <w:proofErr w:type="gramStart"/>
                      <w:r w:rsidRPr="006D4A09">
                        <w:rPr>
                          <w:b/>
                          <w:sz w:val="18"/>
                          <w:szCs w:val="18"/>
                        </w:rPr>
                        <w:t>:</w:t>
                      </w:r>
                      <w:r w:rsidRPr="006D4A09">
                        <w:rPr>
                          <w:b/>
                          <w:sz w:val="18"/>
                          <w:szCs w:val="18"/>
                          <w:vertAlign w:val="superscript"/>
                        </w:rPr>
                        <w:t>1</w:t>
                      </w:r>
                      <w:proofErr w:type="gramEnd"/>
                    </w:p>
                    <w:p w:rsidR="006D4A09" w:rsidRPr="006D4A09" w:rsidRDefault="006D4A09" w:rsidP="006D4A09">
                      <w:pPr>
                        <w:pStyle w:val="ListParagraph"/>
                        <w:numPr>
                          <w:ilvl w:val="0"/>
                          <w:numId w:val="14"/>
                        </w:numPr>
                        <w:rPr>
                          <w:sz w:val="18"/>
                          <w:szCs w:val="18"/>
                        </w:rPr>
                      </w:pPr>
                      <w:r w:rsidRPr="006D4A09">
                        <w:rPr>
                          <w:sz w:val="18"/>
                          <w:szCs w:val="18"/>
                        </w:rPr>
                        <w:t>Due to insufficient evidence supporting the use of antibiotics to treat periapical abscess, irreversible pulpitis, or symptomatic apical periodontitis, which are treated effectively through drainage by means of pulpectomy, incision, local debridement or extraction, antibiotics should not be prescribed.</w:t>
                      </w:r>
                      <w:r w:rsidRPr="006D4A09">
                        <w:rPr>
                          <w:sz w:val="18"/>
                          <w:szCs w:val="18"/>
                          <w:vertAlign w:val="superscript"/>
                        </w:rPr>
                        <w:t>2-5</w:t>
                      </w:r>
                      <w:r w:rsidRPr="006D4A09">
                        <w:rPr>
                          <w:sz w:val="18"/>
                          <w:szCs w:val="18"/>
                        </w:rPr>
                        <w:t xml:space="preserve">  An exception to this would be if the patient seeks care with evidence of systemic involvement, as well as a gross, rapid, and diffuse spread of infection.</w:t>
                      </w:r>
                      <w:r w:rsidRPr="006D4A09">
                        <w:rPr>
                          <w:sz w:val="18"/>
                          <w:szCs w:val="18"/>
                          <w:vertAlign w:val="superscript"/>
                        </w:rPr>
                        <w:t>2-3,6</w:t>
                      </w:r>
                    </w:p>
                    <w:p w:rsidR="006D4A09" w:rsidRPr="006D4A09" w:rsidRDefault="006D4A09" w:rsidP="006D4A09">
                      <w:pPr>
                        <w:pStyle w:val="ListParagraph"/>
                        <w:numPr>
                          <w:ilvl w:val="0"/>
                          <w:numId w:val="14"/>
                        </w:numPr>
                        <w:rPr>
                          <w:sz w:val="18"/>
                          <w:szCs w:val="18"/>
                        </w:rPr>
                      </w:pPr>
                      <w:r w:rsidRPr="006D4A09">
                        <w:rPr>
                          <w:sz w:val="18"/>
                          <w:szCs w:val="18"/>
                        </w:rPr>
                        <w:t>For the treatment of pericoronitis, dentists should prescribe antibiotics only when immediate surgical removal is impossible (for example, significant trismus) and there is an acute spreading infection; otherwise, symptoms associated with pericoronitis can be improved by means of local oral irrigation measures, chlorhexidine mouthrinse, and analgesics.</w:t>
                      </w:r>
                      <w:r w:rsidRPr="006D4A09">
                        <w:rPr>
                          <w:sz w:val="18"/>
                          <w:szCs w:val="18"/>
                          <w:vertAlign w:val="superscript"/>
                        </w:rPr>
                        <w:t>7</w:t>
                      </w:r>
                    </w:p>
                    <w:p w:rsidR="006D4A09" w:rsidRPr="006D4A09" w:rsidRDefault="006D4A09" w:rsidP="006D4A09">
                      <w:pPr>
                        <w:pStyle w:val="ListParagraph"/>
                        <w:numPr>
                          <w:ilvl w:val="0"/>
                          <w:numId w:val="14"/>
                        </w:numPr>
                        <w:rPr>
                          <w:sz w:val="18"/>
                          <w:szCs w:val="18"/>
                        </w:rPr>
                      </w:pPr>
                      <w:r w:rsidRPr="006D4A09">
                        <w:rPr>
                          <w:sz w:val="18"/>
                          <w:szCs w:val="18"/>
                        </w:rPr>
                        <w:t>Antibiotics are not indicated for the treatment of dry socket because it is not an infection.  Treatment of dry socket should include site irrigation with saline or chlorhexidine, a dressing material to control the pain, analgesics, and the maintenance of proper oral hygiene.</w:t>
                      </w:r>
                      <w:r w:rsidRPr="006D4A09">
                        <w:rPr>
                          <w:sz w:val="18"/>
                          <w:szCs w:val="18"/>
                          <w:vertAlign w:val="superscript"/>
                        </w:rPr>
                        <w:t>8</w:t>
                      </w:r>
                    </w:p>
                    <w:p w:rsidR="006D4A09" w:rsidRPr="006D4A09" w:rsidRDefault="006D4A09" w:rsidP="006D4A09">
                      <w:pPr>
                        <w:pStyle w:val="ListParagraph"/>
                        <w:numPr>
                          <w:ilvl w:val="0"/>
                          <w:numId w:val="14"/>
                        </w:numPr>
                        <w:rPr>
                          <w:sz w:val="18"/>
                          <w:szCs w:val="18"/>
                        </w:rPr>
                      </w:pPr>
                      <w:r w:rsidRPr="006D4A09">
                        <w:rPr>
                          <w:sz w:val="18"/>
                          <w:szCs w:val="18"/>
                        </w:rPr>
                        <w:t>For the treatment of sinusitis, dentists should advise the patient to seek care from their primary care physician. Because of the self-limiting, likely viral nature of this condition, antibiotics are generally not indicated.</w:t>
                      </w:r>
                      <w:r w:rsidRPr="006D4A09">
                        <w:rPr>
                          <w:sz w:val="18"/>
                          <w:szCs w:val="18"/>
                          <w:vertAlign w:val="superscript"/>
                        </w:rPr>
                        <w:t>9</w:t>
                      </w:r>
                    </w:p>
                    <w:p w:rsidR="006D4A09" w:rsidRPr="006D4A09" w:rsidRDefault="006D4A09" w:rsidP="006D4A09">
                      <w:pPr>
                        <w:spacing w:after="0" w:line="240" w:lineRule="auto"/>
                        <w:rPr>
                          <w:sz w:val="18"/>
                          <w:szCs w:val="18"/>
                        </w:rPr>
                      </w:pPr>
                      <w:r w:rsidRPr="006D4A09">
                        <w:rPr>
                          <w:sz w:val="18"/>
                          <w:szCs w:val="18"/>
                        </w:rPr>
                        <w:t>References:</w:t>
                      </w:r>
                    </w:p>
                    <w:p w:rsidR="006D4A09" w:rsidRPr="006D4A09" w:rsidRDefault="006D4A09" w:rsidP="006D4A09">
                      <w:pPr>
                        <w:pStyle w:val="NormalWeb"/>
                        <w:spacing w:before="0" w:beforeAutospacing="0" w:after="0" w:afterAutospacing="0"/>
                        <w:rPr>
                          <w:rFonts w:asciiTheme="minorHAnsi" w:hAnsiTheme="minorHAnsi"/>
                          <w:color w:val="000000"/>
                          <w:sz w:val="14"/>
                          <w:szCs w:val="14"/>
                        </w:rPr>
                      </w:pPr>
                      <w:r w:rsidRPr="006D4A09">
                        <w:rPr>
                          <w:sz w:val="14"/>
                          <w:szCs w:val="14"/>
                          <w:vertAlign w:val="superscript"/>
                        </w:rPr>
                        <w:t>1</w:t>
                      </w:r>
                      <w:r w:rsidRPr="006D4A09">
                        <w:rPr>
                          <w:rFonts w:asciiTheme="minorHAnsi" w:hAnsiTheme="minorHAnsi"/>
                          <w:color w:val="000000"/>
                          <w:sz w:val="14"/>
                          <w:szCs w:val="14"/>
                        </w:rPr>
                        <w:t xml:space="preserve">Stein K, Farmer J, </w:t>
                      </w:r>
                      <w:proofErr w:type="spellStart"/>
                      <w:r w:rsidRPr="006D4A09">
                        <w:rPr>
                          <w:rFonts w:asciiTheme="minorHAnsi" w:hAnsiTheme="minorHAnsi"/>
                          <w:color w:val="000000"/>
                          <w:sz w:val="14"/>
                          <w:szCs w:val="14"/>
                        </w:rPr>
                        <w:t>Singhal</w:t>
                      </w:r>
                      <w:proofErr w:type="spellEnd"/>
                      <w:r w:rsidRPr="006D4A09">
                        <w:rPr>
                          <w:rFonts w:asciiTheme="minorHAnsi" w:hAnsiTheme="minorHAnsi"/>
                          <w:color w:val="000000"/>
                          <w:sz w:val="14"/>
                          <w:szCs w:val="14"/>
                        </w:rPr>
                        <w:t xml:space="preserve"> S, </w:t>
                      </w:r>
                      <w:proofErr w:type="spellStart"/>
                      <w:r w:rsidRPr="006D4A09">
                        <w:rPr>
                          <w:rFonts w:asciiTheme="minorHAnsi" w:hAnsiTheme="minorHAnsi"/>
                          <w:color w:val="000000"/>
                          <w:sz w:val="14"/>
                          <w:szCs w:val="14"/>
                        </w:rPr>
                        <w:t>Marra</w:t>
                      </w:r>
                      <w:proofErr w:type="spellEnd"/>
                      <w:r w:rsidRPr="006D4A09">
                        <w:rPr>
                          <w:rFonts w:asciiTheme="minorHAnsi" w:hAnsiTheme="minorHAnsi"/>
                          <w:color w:val="000000"/>
                          <w:sz w:val="14"/>
                          <w:szCs w:val="14"/>
                        </w:rPr>
                        <w:t xml:space="preserve"> F, Sutherland S, </w:t>
                      </w:r>
                      <w:proofErr w:type="spellStart"/>
                      <w:r w:rsidRPr="006D4A09">
                        <w:rPr>
                          <w:rFonts w:asciiTheme="minorHAnsi" w:hAnsiTheme="minorHAnsi"/>
                          <w:color w:val="000000"/>
                          <w:sz w:val="14"/>
                          <w:szCs w:val="14"/>
                        </w:rPr>
                        <w:t>Quinonez</w:t>
                      </w:r>
                      <w:proofErr w:type="spellEnd"/>
                      <w:r w:rsidRPr="006D4A09">
                        <w:rPr>
                          <w:rFonts w:asciiTheme="minorHAnsi" w:hAnsiTheme="minorHAnsi"/>
                          <w:color w:val="000000"/>
                          <w:sz w:val="14"/>
                          <w:szCs w:val="14"/>
                        </w:rPr>
                        <w:t xml:space="preserve"> C. The use and misuse of antibiotics in dentistry: a scoping review. </w:t>
                      </w:r>
                      <w:proofErr w:type="gramStart"/>
                      <w:r w:rsidRPr="006D4A09">
                        <w:rPr>
                          <w:rFonts w:asciiTheme="minorHAnsi" w:hAnsiTheme="minorHAnsi"/>
                          <w:color w:val="000000"/>
                          <w:sz w:val="14"/>
                          <w:szCs w:val="14"/>
                        </w:rPr>
                        <w:t>JADA.</w:t>
                      </w:r>
                      <w:proofErr w:type="gramEnd"/>
                      <w:r w:rsidRPr="006D4A09">
                        <w:rPr>
                          <w:rFonts w:asciiTheme="minorHAnsi" w:hAnsiTheme="minorHAnsi"/>
                          <w:color w:val="000000"/>
                          <w:sz w:val="14"/>
                          <w:szCs w:val="14"/>
                        </w:rPr>
                        <w:t xml:space="preserve"> 2018</w:t>
                      </w:r>
                      <w:proofErr w:type="gramStart"/>
                      <w:r w:rsidRPr="006D4A09">
                        <w:rPr>
                          <w:rFonts w:asciiTheme="minorHAnsi" w:hAnsiTheme="minorHAnsi"/>
                          <w:color w:val="000000"/>
                          <w:sz w:val="14"/>
                          <w:szCs w:val="14"/>
                        </w:rPr>
                        <w:t>;149</w:t>
                      </w:r>
                      <w:proofErr w:type="gramEnd"/>
                      <w:r w:rsidRPr="006D4A09">
                        <w:rPr>
                          <w:rFonts w:asciiTheme="minorHAnsi" w:hAnsiTheme="minorHAnsi"/>
                          <w:color w:val="000000"/>
                          <w:sz w:val="14"/>
                          <w:szCs w:val="14"/>
                        </w:rPr>
                        <w:t>(10):869-884 e5.</w:t>
                      </w:r>
                    </w:p>
                    <w:p w:rsidR="006D4A09" w:rsidRPr="006D4A09" w:rsidRDefault="006D4A09" w:rsidP="006D4A09">
                      <w:pPr>
                        <w:spacing w:after="0" w:line="240" w:lineRule="auto"/>
                        <w:rPr>
                          <w:color w:val="000000"/>
                          <w:sz w:val="14"/>
                          <w:szCs w:val="14"/>
                        </w:rPr>
                      </w:pPr>
                      <w:r w:rsidRPr="006D4A09">
                        <w:rPr>
                          <w:sz w:val="14"/>
                          <w:szCs w:val="14"/>
                          <w:vertAlign w:val="superscript"/>
                        </w:rPr>
                        <w:t>2</w:t>
                      </w:r>
                      <w:r w:rsidRPr="006D4A09">
                        <w:rPr>
                          <w:color w:val="000000"/>
                          <w:sz w:val="14"/>
                          <w:szCs w:val="14"/>
                        </w:rPr>
                        <w:t xml:space="preserve">Lockhart PB, </w:t>
                      </w:r>
                      <w:proofErr w:type="spellStart"/>
                      <w:r w:rsidRPr="006D4A09">
                        <w:rPr>
                          <w:color w:val="000000"/>
                          <w:sz w:val="14"/>
                          <w:szCs w:val="14"/>
                        </w:rPr>
                        <w:t>Tampi</w:t>
                      </w:r>
                      <w:proofErr w:type="spellEnd"/>
                      <w:r w:rsidRPr="006D4A09">
                        <w:rPr>
                          <w:color w:val="000000"/>
                          <w:sz w:val="14"/>
                          <w:szCs w:val="14"/>
                        </w:rPr>
                        <w:t xml:space="preserve"> MP, </w:t>
                      </w:r>
                      <w:proofErr w:type="spellStart"/>
                      <w:r w:rsidRPr="006D4A09">
                        <w:rPr>
                          <w:color w:val="000000"/>
                          <w:sz w:val="14"/>
                          <w:szCs w:val="14"/>
                        </w:rPr>
                        <w:t>Abt</w:t>
                      </w:r>
                      <w:proofErr w:type="spellEnd"/>
                      <w:r w:rsidRPr="006D4A09">
                        <w:rPr>
                          <w:color w:val="000000"/>
                          <w:sz w:val="14"/>
                          <w:szCs w:val="14"/>
                        </w:rPr>
                        <w:t xml:space="preserve"> E et al. Evidence-based clinical practice guideline on antibiotic use for the urgent management of pulpal- and periapical-related dental pain and intraoral swelling. </w:t>
                      </w:r>
                      <w:proofErr w:type="gramStart"/>
                      <w:r w:rsidRPr="006D4A09">
                        <w:rPr>
                          <w:color w:val="000000"/>
                          <w:sz w:val="14"/>
                          <w:szCs w:val="14"/>
                        </w:rPr>
                        <w:t>JADA.</w:t>
                      </w:r>
                      <w:proofErr w:type="gramEnd"/>
                      <w:r w:rsidRPr="006D4A09">
                        <w:rPr>
                          <w:color w:val="000000"/>
                          <w:sz w:val="14"/>
                          <w:szCs w:val="14"/>
                        </w:rPr>
                        <w:t xml:space="preserve"> 2019:150(11)</w:t>
                      </w:r>
                      <w:proofErr w:type="gramStart"/>
                      <w:r w:rsidRPr="006D4A09">
                        <w:rPr>
                          <w:color w:val="000000"/>
                          <w:sz w:val="14"/>
                          <w:szCs w:val="14"/>
                        </w:rPr>
                        <w:t>;906</w:t>
                      </w:r>
                      <w:proofErr w:type="gramEnd"/>
                      <w:r w:rsidRPr="006D4A09">
                        <w:rPr>
                          <w:color w:val="000000"/>
                          <w:sz w:val="14"/>
                          <w:szCs w:val="14"/>
                        </w:rPr>
                        <w:t>-921.e12.</w:t>
                      </w:r>
                    </w:p>
                    <w:p w:rsidR="006D4A09" w:rsidRPr="006D4A09" w:rsidRDefault="006D4A09" w:rsidP="006D4A09">
                      <w:pPr>
                        <w:spacing w:after="0" w:line="240" w:lineRule="auto"/>
                        <w:rPr>
                          <w:sz w:val="14"/>
                          <w:szCs w:val="14"/>
                        </w:rPr>
                      </w:pPr>
                      <w:proofErr w:type="gramStart"/>
                      <w:r w:rsidRPr="006D4A09">
                        <w:rPr>
                          <w:sz w:val="14"/>
                          <w:szCs w:val="14"/>
                          <w:vertAlign w:val="superscript"/>
                        </w:rPr>
                        <w:t>3</w:t>
                      </w:r>
                      <w:r w:rsidRPr="006D4A09">
                        <w:rPr>
                          <w:sz w:val="14"/>
                          <w:szCs w:val="14"/>
                        </w:rPr>
                        <w:t>American Association of Endodontists.</w:t>
                      </w:r>
                      <w:proofErr w:type="gramEnd"/>
                      <w:r w:rsidRPr="006D4A09">
                        <w:rPr>
                          <w:sz w:val="14"/>
                          <w:szCs w:val="14"/>
                        </w:rPr>
                        <w:t xml:space="preserve">  </w:t>
                      </w:r>
                      <w:proofErr w:type="gramStart"/>
                      <w:r w:rsidRPr="006D4A09">
                        <w:rPr>
                          <w:sz w:val="14"/>
                          <w:szCs w:val="14"/>
                        </w:rPr>
                        <w:t>AAE guidance on the use of systemic antibiotics in endodontics.</w:t>
                      </w:r>
                      <w:proofErr w:type="gramEnd"/>
                      <w:r w:rsidRPr="006D4A09">
                        <w:rPr>
                          <w:sz w:val="14"/>
                          <w:szCs w:val="14"/>
                        </w:rPr>
                        <w:t xml:space="preserve">  Available at:  </w:t>
                      </w:r>
                      <w:hyperlink r:id="rId14" w:history="1">
                        <w:r w:rsidRPr="006D4A09">
                          <w:rPr>
                            <w:rStyle w:val="Hyperlink"/>
                            <w:color w:val="auto"/>
                            <w:sz w:val="14"/>
                            <w:szCs w:val="14"/>
                            <w:u w:val="none"/>
                          </w:rPr>
                          <w:t>https://www.aae.org/specialty/wp-content/uploads/sites/2/2017/06/aae_systemic-antibiotics.pdf</w:t>
                        </w:r>
                      </w:hyperlink>
                      <w:r w:rsidRPr="006D4A09">
                        <w:rPr>
                          <w:sz w:val="14"/>
                          <w:szCs w:val="14"/>
                        </w:rPr>
                        <w:t xml:space="preserve">. </w:t>
                      </w:r>
                      <w:proofErr w:type="gramStart"/>
                      <w:r w:rsidRPr="006D4A09">
                        <w:rPr>
                          <w:sz w:val="14"/>
                          <w:szCs w:val="14"/>
                        </w:rPr>
                        <w:t>Accessed January 8, 2020.</w:t>
                      </w:r>
                      <w:proofErr w:type="gramEnd"/>
                    </w:p>
                    <w:p w:rsidR="006D4A09" w:rsidRPr="006D4A09" w:rsidRDefault="006D4A09" w:rsidP="006D4A09">
                      <w:pPr>
                        <w:spacing w:after="0" w:line="240" w:lineRule="auto"/>
                        <w:rPr>
                          <w:sz w:val="14"/>
                          <w:szCs w:val="14"/>
                        </w:rPr>
                      </w:pPr>
                      <w:proofErr w:type="gramStart"/>
                      <w:r w:rsidRPr="006D4A09">
                        <w:rPr>
                          <w:sz w:val="14"/>
                          <w:szCs w:val="14"/>
                          <w:vertAlign w:val="superscript"/>
                        </w:rPr>
                        <w:t>4</w:t>
                      </w:r>
                      <w:r w:rsidRPr="006D4A09">
                        <w:rPr>
                          <w:sz w:val="14"/>
                          <w:szCs w:val="14"/>
                        </w:rPr>
                        <w:t xml:space="preserve">Agnihotry A, </w:t>
                      </w:r>
                      <w:proofErr w:type="spellStart"/>
                      <w:r w:rsidRPr="006D4A09">
                        <w:rPr>
                          <w:sz w:val="14"/>
                          <w:szCs w:val="14"/>
                        </w:rPr>
                        <w:t>Fedorowicz</w:t>
                      </w:r>
                      <w:proofErr w:type="spellEnd"/>
                      <w:r w:rsidRPr="006D4A09">
                        <w:rPr>
                          <w:sz w:val="14"/>
                          <w:szCs w:val="14"/>
                        </w:rPr>
                        <w:t xml:space="preserve"> A, van </w:t>
                      </w:r>
                      <w:proofErr w:type="spellStart"/>
                      <w:r w:rsidRPr="006D4A09">
                        <w:rPr>
                          <w:sz w:val="14"/>
                          <w:szCs w:val="14"/>
                        </w:rPr>
                        <w:t>Zuuren</w:t>
                      </w:r>
                      <w:proofErr w:type="spellEnd"/>
                      <w:r w:rsidRPr="006D4A09">
                        <w:rPr>
                          <w:sz w:val="14"/>
                          <w:szCs w:val="14"/>
                        </w:rPr>
                        <w:t xml:space="preserve"> EJ, et al.</w:t>
                      </w:r>
                      <w:proofErr w:type="gramEnd"/>
                      <w:r w:rsidRPr="006D4A09">
                        <w:rPr>
                          <w:sz w:val="14"/>
                          <w:szCs w:val="14"/>
                        </w:rPr>
                        <w:t xml:space="preserve">  </w:t>
                      </w:r>
                      <w:proofErr w:type="gramStart"/>
                      <w:r w:rsidRPr="006D4A09">
                        <w:rPr>
                          <w:sz w:val="14"/>
                          <w:szCs w:val="14"/>
                        </w:rPr>
                        <w:t>Antibiotic use for irreversible pulpitis.</w:t>
                      </w:r>
                      <w:proofErr w:type="gramEnd"/>
                      <w:r w:rsidRPr="006D4A09">
                        <w:rPr>
                          <w:sz w:val="14"/>
                          <w:szCs w:val="14"/>
                        </w:rPr>
                        <w:t xml:space="preserve">  Cochrane Database </w:t>
                      </w:r>
                      <w:proofErr w:type="spellStart"/>
                      <w:r w:rsidRPr="006D4A09">
                        <w:rPr>
                          <w:sz w:val="14"/>
                          <w:szCs w:val="14"/>
                        </w:rPr>
                        <w:t>Syst</w:t>
                      </w:r>
                      <w:proofErr w:type="spellEnd"/>
                      <w:r w:rsidRPr="006D4A09">
                        <w:rPr>
                          <w:sz w:val="14"/>
                          <w:szCs w:val="14"/>
                        </w:rPr>
                        <w:t xml:space="preserve"> Dev. 2016</w:t>
                      </w:r>
                      <w:proofErr w:type="gramStart"/>
                      <w:r w:rsidRPr="006D4A09">
                        <w:rPr>
                          <w:sz w:val="14"/>
                          <w:szCs w:val="14"/>
                        </w:rPr>
                        <w:t>;2:CD004969</w:t>
                      </w:r>
                      <w:proofErr w:type="gramEnd"/>
                      <w:r w:rsidRPr="006D4A09">
                        <w:rPr>
                          <w:sz w:val="14"/>
                          <w:szCs w:val="14"/>
                        </w:rPr>
                        <w:t>.</w:t>
                      </w:r>
                    </w:p>
                    <w:p w:rsidR="006D4A09" w:rsidRPr="006D4A09" w:rsidRDefault="006D4A09" w:rsidP="006D4A09">
                      <w:pPr>
                        <w:spacing w:after="0" w:line="240" w:lineRule="auto"/>
                        <w:rPr>
                          <w:sz w:val="14"/>
                          <w:szCs w:val="14"/>
                        </w:rPr>
                      </w:pPr>
                      <w:proofErr w:type="gramStart"/>
                      <w:r w:rsidRPr="006D4A09">
                        <w:rPr>
                          <w:sz w:val="14"/>
                          <w:szCs w:val="14"/>
                          <w:vertAlign w:val="superscript"/>
                        </w:rPr>
                        <w:t>5</w:t>
                      </w:r>
                      <w:r w:rsidRPr="006D4A09">
                        <w:rPr>
                          <w:sz w:val="14"/>
                          <w:szCs w:val="14"/>
                        </w:rPr>
                        <w:t>Cope A, Francis N, Wood F, et al.</w:t>
                      </w:r>
                      <w:proofErr w:type="gramEnd"/>
                      <w:r w:rsidRPr="006D4A09">
                        <w:rPr>
                          <w:sz w:val="14"/>
                          <w:szCs w:val="14"/>
                        </w:rPr>
                        <w:t xml:space="preserve">  </w:t>
                      </w:r>
                      <w:proofErr w:type="gramStart"/>
                      <w:r w:rsidRPr="006D4A09">
                        <w:rPr>
                          <w:sz w:val="14"/>
                          <w:szCs w:val="14"/>
                        </w:rPr>
                        <w:t>Systemic antibiotics for symptomatic apical peridontitis and acute apical abscess in adults.</w:t>
                      </w:r>
                      <w:proofErr w:type="gramEnd"/>
                      <w:r w:rsidRPr="006D4A09">
                        <w:rPr>
                          <w:sz w:val="14"/>
                          <w:szCs w:val="14"/>
                        </w:rPr>
                        <w:t xml:space="preserve">  Cochrane Database </w:t>
                      </w:r>
                      <w:proofErr w:type="spellStart"/>
                      <w:r w:rsidRPr="006D4A09">
                        <w:rPr>
                          <w:sz w:val="14"/>
                          <w:szCs w:val="14"/>
                        </w:rPr>
                        <w:t>Syst</w:t>
                      </w:r>
                      <w:proofErr w:type="spellEnd"/>
                      <w:r w:rsidRPr="006D4A09">
                        <w:rPr>
                          <w:sz w:val="14"/>
                          <w:szCs w:val="14"/>
                        </w:rPr>
                        <w:t xml:space="preserve"> Rev. 2014</w:t>
                      </w:r>
                      <w:proofErr w:type="gramStart"/>
                      <w:r w:rsidRPr="006D4A09">
                        <w:rPr>
                          <w:sz w:val="14"/>
                          <w:szCs w:val="14"/>
                        </w:rPr>
                        <w:t>;6:CD010136</w:t>
                      </w:r>
                      <w:proofErr w:type="gramEnd"/>
                      <w:r w:rsidRPr="006D4A09">
                        <w:rPr>
                          <w:sz w:val="14"/>
                          <w:szCs w:val="14"/>
                        </w:rPr>
                        <w:t>.</w:t>
                      </w:r>
                    </w:p>
                    <w:p w:rsidR="006D4A09" w:rsidRPr="006D4A09" w:rsidRDefault="006D4A09" w:rsidP="006D4A09">
                      <w:pPr>
                        <w:spacing w:after="0" w:line="240" w:lineRule="auto"/>
                        <w:rPr>
                          <w:sz w:val="14"/>
                          <w:szCs w:val="14"/>
                        </w:rPr>
                      </w:pPr>
                      <w:proofErr w:type="gramStart"/>
                      <w:r w:rsidRPr="006D4A09">
                        <w:rPr>
                          <w:sz w:val="14"/>
                          <w:szCs w:val="14"/>
                          <w:vertAlign w:val="superscript"/>
                        </w:rPr>
                        <w:t>6</w:t>
                      </w:r>
                      <w:r w:rsidRPr="006D4A09">
                        <w:rPr>
                          <w:sz w:val="14"/>
                          <w:szCs w:val="14"/>
                        </w:rPr>
                        <w:t>Palmer NA.</w:t>
                      </w:r>
                      <w:proofErr w:type="gramEnd"/>
                      <w:r w:rsidRPr="006D4A09">
                        <w:rPr>
                          <w:sz w:val="14"/>
                          <w:szCs w:val="14"/>
                        </w:rPr>
                        <w:t xml:space="preserve">  </w:t>
                      </w:r>
                      <w:proofErr w:type="gramStart"/>
                      <w:r w:rsidRPr="006D4A09">
                        <w:rPr>
                          <w:sz w:val="14"/>
                          <w:szCs w:val="14"/>
                        </w:rPr>
                        <w:t>Revisiting the role of dentists in prescribing antibiotics.</w:t>
                      </w:r>
                      <w:proofErr w:type="gramEnd"/>
                      <w:r w:rsidRPr="006D4A09">
                        <w:rPr>
                          <w:sz w:val="14"/>
                          <w:szCs w:val="14"/>
                        </w:rPr>
                        <w:t xml:space="preserve">  Dent Update. 2003</w:t>
                      </w:r>
                      <w:proofErr w:type="gramStart"/>
                      <w:r w:rsidRPr="006D4A09">
                        <w:rPr>
                          <w:sz w:val="14"/>
                          <w:szCs w:val="14"/>
                        </w:rPr>
                        <w:t>;30</w:t>
                      </w:r>
                      <w:proofErr w:type="gramEnd"/>
                      <w:r w:rsidRPr="006D4A09">
                        <w:rPr>
                          <w:sz w:val="14"/>
                          <w:szCs w:val="14"/>
                        </w:rPr>
                        <w:t>(10):570-574.</w:t>
                      </w:r>
                    </w:p>
                    <w:p w:rsidR="006D4A09" w:rsidRPr="006D4A09" w:rsidRDefault="006D4A09" w:rsidP="006D4A09">
                      <w:pPr>
                        <w:spacing w:after="0" w:line="240" w:lineRule="auto"/>
                        <w:rPr>
                          <w:sz w:val="14"/>
                          <w:szCs w:val="14"/>
                        </w:rPr>
                      </w:pPr>
                      <w:proofErr w:type="gramStart"/>
                      <w:r w:rsidRPr="006D4A09">
                        <w:rPr>
                          <w:sz w:val="14"/>
                          <w:szCs w:val="14"/>
                          <w:vertAlign w:val="superscript"/>
                        </w:rPr>
                        <w:t>7</w:t>
                      </w:r>
                      <w:r w:rsidRPr="006D4A09">
                        <w:rPr>
                          <w:sz w:val="14"/>
                          <w:szCs w:val="14"/>
                        </w:rPr>
                        <w:t>Renton T, Wilson NHF.</w:t>
                      </w:r>
                      <w:proofErr w:type="gramEnd"/>
                      <w:r w:rsidRPr="006D4A09">
                        <w:rPr>
                          <w:sz w:val="14"/>
                          <w:szCs w:val="14"/>
                        </w:rPr>
                        <w:t xml:space="preserve">  Problems with erupting wisdom teeth: signs, symptoms and management.  </w:t>
                      </w:r>
                      <w:proofErr w:type="gramStart"/>
                      <w:r w:rsidRPr="006D4A09">
                        <w:rPr>
                          <w:sz w:val="14"/>
                          <w:szCs w:val="14"/>
                        </w:rPr>
                        <w:t xml:space="preserve">Br J Gen </w:t>
                      </w:r>
                      <w:proofErr w:type="spellStart"/>
                      <w:r w:rsidRPr="006D4A09">
                        <w:rPr>
                          <w:sz w:val="14"/>
                          <w:szCs w:val="14"/>
                        </w:rPr>
                        <w:t>Pract</w:t>
                      </w:r>
                      <w:proofErr w:type="spellEnd"/>
                      <w:r w:rsidRPr="006D4A09">
                        <w:rPr>
                          <w:sz w:val="14"/>
                          <w:szCs w:val="14"/>
                        </w:rPr>
                        <w:t>.</w:t>
                      </w:r>
                      <w:proofErr w:type="gramEnd"/>
                      <w:r w:rsidRPr="006D4A09">
                        <w:rPr>
                          <w:sz w:val="14"/>
                          <w:szCs w:val="14"/>
                        </w:rPr>
                        <w:t xml:space="preserve"> 2016</w:t>
                      </w:r>
                      <w:proofErr w:type="gramStart"/>
                      <w:r w:rsidRPr="006D4A09">
                        <w:rPr>
                          <w:sz w:val="14"/>
                          <w:szCs w:val="14"/>
                        </w:rPr>
                        <w:t>;66:e606</w:t>
                      </w:r>
                      <w:proofErr w:type="gramEnd"/>
                      <w:r w:rsidRPr="006D4A09">
                        <w:rPr>
                          <w:sz w:val="14"/>
                          <w:szCs w:val="14"/>
                        </w:rPr>
                        <w:t>-3608.</w:t>
                      </w:r>
                    </w:p>
                    <w:p w:rsidR="006D4A09" w:rsidRPr="006D4A09" w:rsidRDefault="006D4A09" w:rsidP="006D4A09">
                      <w:pPr>
                        <w:spacing w:after="0" w:line="240" w:lineRule="auto"/>
                        <w:rPr>
                          <w:sz w:val="14"/>
                          <w:szCs w:val="14"/>
                        </w:rPr>
                      </w:pPr>
                      <w:proofErr w:type="gramStart"/>
                      <w:r w:rsidRPr="006D4A09">
                        <w:rPr>
                          <w:sz w:val="14"/>
                          <w:szCs w:val="14"/>
                          <w:vertAlign w:val="superscript"/>
                        </w:rPr>
                        <w:t>8</w:t>
                      </w:r>
                      <w:r w:rsidRPr="006D4A09">
                        <w:rPr>
                          <w:sz w:val="14"/>
                          <w:szCs w:val="14"/>
                        </w:rPr>
                        <w:t>Chemaly D.</w:t>
                      </w:r>
                      <w:proofErr w:type="gramEnd"/>
                      <w:r w:rsidRPr="006D4A09">
                        <w:rPr>
                          <w:sz w:val="14"/>
                          <w:szCs w:val="14"/>
                        </w:rPr>
                        <w:t xml:space="preserve">  How do I manage a patient with dry socket? J Can Dent Assoc. 2013</w:t>
                      </w:r>
                      <w:proofErr w:type="gramStart"/>
                      <w:r w:rsidRPr="006D4A09">
                        <w:rPr>
                          <w:sz w:val="14"/>
                          <w:szCs w:val="14"/>
                        </w:rPr>
                        <w:t>;79:d54</w:t>
                      </w:r>
                      <w:proofErr w:type="gramEnd"/>
                      <w:r w:rsidRPr="006D4A09">
                        <w:rPr>
                          <w:sz w:val="14"/>
                          <w:szCs w:val="14"/>
                        </w:rPr>
                        <w:t>.</w:t>
                      </w:r>
                    </w:p>
                    <w:p w:rsidR="006D4A09" w:rsidRDefault="006D4A09" w:rsidP="006D4A09">
                      <w:pPr>
                        <w:spacing w:after="0" w:line="240" w:lineRule="auto"/>
                        <w:rPr>
                          <w:sz w:val="14"/>
                          <w:szCs w:val="14"/>
                        </w:rPr>
                      </w:pPr>
                      <w:proofErr w:type="gramStart"/>
                      <w:r w:rsidRPr="006D4A09">
                        <w:rPr>
                          <w:sz w:val="14"/>
                          <w:szCs w:val="14"/>
                          <w:vertAlign w:val="superscript"/>
                        </w:rPr>
                        <w:t>9</w:t>
                      </w:r>
                      <w:r w:rsidRPr="006D4A09">
                        <w:rPr>
                          <w:sz w:val="14"/>
                          <w:szCs w:val="14"/>
                        </w:rPr>
                        <w:t xml:space="preserve">Scottish Dental Clinical Effectiveness </w:t>
                      </w:r>
                      <w:proofErr w:type="spellStart"/>
                      <w:r w:rsidRPr="006D4A09">
                        <w:rPr>
                          <w:sz w:val="14"/>
                          <w:szCs w:val="14"/>
                        </w:rPr>
                        <w:t>Programme</w:t>
                      </w:r>
                      <w:proofErr w:type="spellEnd"/>
                      <w:r w:rsidRPr="006D4A09">
                        <w:rPr>
                          <w:sz w:val="14"/>
                          <w:szCs w:val="14"/>
                        </w:rPr>
                        <w:t>.</w:t>
                      </w:r>
                      <w:proofErr w:type="gramEnd"/>
                      <w:r w:rsidRPr="006D4A09">
                        <w:rPr>
                          <w:sz w:val="14"/>
                          <w:szCs w:val="14"/>
                        </w:rPr>
                        <w:t xml:space="preserve">  Drug Prescribing in Dentistry: Dental Clinical Guidance. 3</w:t>
                      </w:r>
                      <w:r w:rsidRPr="006D4A09">
                        <w:rPr>
                          <w:sz w:val="14"/>
                          <w:szCs w:val="14"/>
                          <w:vertAlign w:val="superscript"/>
                        </w:rPr>
                        <w:t>rd</w:t>
                      </w:r>
                      <w:r w:rsidRPr="006D4A09">
                        <w:rPr>
                          <w:sz w:val="14"/>
                          <w:szCs w:val="14"/>
                        </w:rPr>
                        <w:t xml:space="preserve"> ed. Dundee, United Kingdom: Scottish Dental Clinical Effectiveness </w:t>
                      </w:r>
                      <w:proofErr w:type="spellStart"/>
                      <w:r w:rsidRPr="006D4A09">
                        <w:rPr>
                          <w:sz w:val="14"/>
                          <w:szCs w:val="14"/>
                        </w:rPr>
                        <w:t>Programme</w:t>
                      </w:r>
                      <w:proofErr w:type="spellEnd"/>
                      <w:r w:rsidRPr="006D4A09">
                        <w:rPr>
                          <w:sz w:val="14"/>
                          <w:szCs w:val="14"/>
                        </w:rPr>
                        <w:t>: 2016.</w:t>
                      </w:r>
                    </w:p>
                    <w:p w:rsidR="00592CBE" w:rsidRDefault="00592CBE" w:rsidP="006D4A09">
                      <w:pPr>
                        <w:spacing w:after="0" w:line="240" w:lineRule="auto"/>
                        <w:rPr>
                          <w:sz w:val="14"/>
                          <w:szCs w:val="14"/>
                        </w:rPr>
                      </w:pPr>
                    </w:p>
                    <w:p w:rsidR="00592CBE" w:rsidRDefault="00592CBE" w:rsidP="006D4A09">
                      <w:pPr>
                        <w:spacing w:after="0" w:line="240" w:lineRule="auto"/>
                        <w:rPr>
                          <w:sz w:val="14"/>
                          <w:szCs w:val="14"/>
                        </w:rPr>
                      </w:pPr>
                    </w:p>
                    <w:p w:rsidR="00592CBE" w:rsidRDefault="00592CBE" w:rsidP="006D4A09">
                      <w:pPr>
                        <w:spacing w:after="0" w:line="240" w:lineRule="auto"/>
                        <w:rPr>
                          <w:sz w:val="14"/>
                          <w:szCs w:val="14"/>
                        </w:rPr>
                      </w:pPr>
                    </w:p>
                    <w:p w:rsidR="00592CBE" w:rsidRDefault="00592CBE" w:rsidP="006D4A09">
                      <w:pPr>
                        <w:spacing w:after="0" w:line="240" w:lineRule="auto"/>
                        <w:rPr>
                          <w:sz w:val="14"/>
                          <w:szCs w:val="14"/>
                        </w:rPr>
                      </w:pPr>
                    </w:p>
                    <w:p w:rsidR="00592CBE" w:rsidRDefault="00592CBE" w:rsidP="006D4A09">
                      <w:pPr>
                        <w:spacing w:after="0" w:line="240" w:lineRule="auto"/>
                        <w:rPr>
                          <w:sz w:val="14"/>
                          <w:szCs w:val="14"/>
                        </w:rPr>
                      </w:pPr>
                    </w:p>
                    <w:p w:rsidR="00592CBE" w:rsidRDefault="00592CBE" w:rsidP="006D4A09">
                      <w:pPr>
                        <w:spacing w:after="0" w:line="240" w:lineRule="auto"/>
                        <w:rPr>
                          <w:sz w:val="14"/>
                          <w:szCs w:val="14"/>
                        </w:rPr>
                      </w:pPr>
                    </w:p>
                    <w:p w:rsidR="00592CBE" w:rsidRDefault="00592CBE" w:rsidP="006D4A09">
                      <w:pPr>
                        <w:spacing w:after="0" w:line="240" w:lineRule="auto"/>
                        <w:rPr>
                          <w:sz w:val="14"/>
                          <w:szCs w:val="14"/>
                        </w:rPr>
                      </w:pPr>
                    </w:p>
                    <w:p w:rsidR="00592CBE" w:rsidRDefault="00592CBE" w:rsidP="006D4A09">
                      <w:pPr>
                        <w:spacing w:after="0" w:line="240" w:lineRule="auto"/>
                        <w:rPr>
                          <w:sz w:val="14"/>
                          <w:szCs w:val="14"/>
                        </w:rPr>
                      </w:pPr>
                    </w:p>
                    <w:p w:rsidR="00592CBE" w:rsidRPr="006D4A09" w:rsidRDefault="00592CBE" w:rsidP="006D4A09">
                      <w:pPr>
                        <w:spacing w:after="0" w:line="240" w:lineRule="auto"/>
                        <w:rPr>
                          <w:sz w:val="14"/>
                          <w:szCs w:val="14"/>
                        </w:rPr>
                      </w:pPr>
                    </w:p>
                    <w:p w:rsidR="006D4A09" w:rsidRPr="006D4A09" w:rsidRDefault="006D4A09">
                      <w:pPr>
                        <w:rPr>
                          <w:sz w:val="14"/>
                          <w:szCs w:val="14"/>
                        </w:rPr>
                      </w:pPr>
                    </w:p>
                  </w:txbxContent>
                </v:textbox>
              </v:shape>
            </w:pict>
          </mc:Fallback>
        </mc:AlternateContent>
      </w:r>
    </w:p>
    <w:p w:rsidR="009C75E5" w:rsidRDefault="009C75E5" w:rsidP="00B6024B"/>
    <w:p w:rsidR="00D86576" w:rsidRDefault="00D86576" w:rsidP="00B6024B"/>
    <w:p w:rsidR="00D86576" w:rsidRDefault="00D86576">
      <w:r>
        <w:br w:type="page"/>
      </w:r>
      <w:r w:rsidRPr="007772CF">
        <w:rPr>
          <w:noProof/>
          <w:color w:val="17365D" w:themeColor="text2" w:themeShade="BF"/>
          <w:sz w:val="18"/>
          <w:szCs w:val="18"/>
        </w:rPr>
        <mc:AlternateContent>
          <mc:Choice Requires="wps">
            <w:drawing>
              <wp:anchor distT="0" distB="0" distL="114300" distR="114300" simplePos="0" relativeHeight="251675648" behindDoc="0" locked="0" layoutInCell="1" allowOverlap="1" wp14:anchorId="46DC2075" wp14:editId="05D613BB">
                <wp:simplePos x="0" y="0"/>
                <wp:positionH relativeFrom="column">
                  <wp:posOffset>251460</wp:posOffset>
                </wp:positionH>
                <wp:positionV relativeFrom="paragraph">
                  <wp:posOffset>-781050</wp:posOffset>
                </wp:positionV>
                <wp:extent cx="4400550" cy="1403985"/>
                <wp:effectExtent l="0" t="0" r="19050" b="266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400550" cy="1403985"/>
                        </a:xfrm>
                        <a:prstGeom prst="rect">
                          <a:avLst/>
                        </a:prstGeom>
                        <a:solidFill>
                          <a:schemeClr val="bg1"/>
                        </a:solidFill>
                        <a:ln w="9525">
                          <a:solidFill>
                            <a:schemeClr val="bg1"/>
                          </a:solidFill>
                          <a:miter lim="800000"/>
                          <a:headEnd/>
                          <a:tailEnd/>
                        </a:ln>
                      </wps:spPr>
                      <wps:txbx>
                        <w:txbxContent>
                          <w:tbl>
                            <w:tblPr>
                              <w:tblStyle w:val="TableGrid"/>
                              <w:tblW w:w="6553" w:type="dxa"/>
                              <w:jc w:val="right"/>
                              <w:tblInd w:w="-578" w:type="dxa"/>
                              <w:tblLook w:val="04A0" w:firstRow="1" w:lastRow="0" w:firstColumn="1" w:lastColumn="0" w:noHBand="0" w:noVBand="1"/>
                            </w:tblPr>
                            <w:tblGrid>
                              <w:gridCol w:w="6553"/>
                            </w:tblGrid>
                            <w:tr w:rsidR="00D86576" w:rsidRPr="00A54C15" w:rsidTr="007772CF">
                              <w:trPr>
                                <w:jc w:val="right"/>
                              </w:trPr>
                              <w:tc>
                                <w:tcPr>
                                  <w:tcW w:w="6553" w:type="dxa"/>
                                  <w:shd w:val="clear" w:color="auto" w:fill="00B0F0"/>
                                </w:tcPr>
                                <w:p w:rsidR="00D86576" w:rsidRPr="00A54C15" w:rsidRDefault="00D86576" w:rsidP="005F059C">
                                  <w:pPr>
                                    <w:rPr>
                                      <w:b/>
                                      <w:color w:val="FFFFFF" w:themeColor="background1"/>
                                      <w:sz w:val="24"/>
                                      <w:szCs w:val="24"/>
                                    </w:rPr>
                                  </w:pPr>
                                  <w:r>
                                    <w:rPr>
                                      <w:b/>
                                      <w:color w:val="FFFFFF" w:themeColor="background1"/>
                                      <w:sz w:val="24"/>
                                      <w:szCs w:val="24"/>
                                    </w:rPr>
                                    <w:t>#2) Prophylaxis to prevent IE management continued:</w:t>
                                  </w:r>
                                </w:p>
                              </w:tc>
                            </w:tr>
                            <w:tr w:rsidR="00D86576" w:rsidRPr="002569AD" w:rsidTr="007772CF">
                              <w:trPr>
                                <w:jc w:val="right"/>
                              </w:trPr>
                              <w:tc>
                                <w:tcPr>
                                  <w:tcW w:w="6553" w:type="dxa"/>
                                </w:tcPr>
                                <w:p w:rsidR="00D86576" w:rsidRPr="002569AD" w:rsidRDefault="00D86576" w:rsidP="007772CF">
                                  <w:pPr>
                                    <w:pStyle w:val="ListParagraph"/>
                                    <w:numPr>
                                      <w:ilvl w:val="0"/>
                                      <w:numId w:val="13"/>
                                    </w:numPr>
                                    <w:rPr>
                                      <w:b/>
                                      <w:sz w:val="21"/>
                                      <w:szCs w:val="21"/>
                                    </w:rPr>
                                  </w:pPr>
                                  <w:r>
                                    <w:rPr>
                                      <w:sz w:val="21"/>
                                      <w:szCs w:val="21"/>
                                    </w:rPr>
                                    <w:t>P</w:t>
                                  </w:r>
                                  <w:r w:rsidRPr="00A54C15">
                                    <w:rPr>
                                      <w:sz w:val="21"/>
                                      <w:szCs w:val="21"/>
                                    </w:rPr>
                                    <w:t xml:space="preserve">rosthetic cardiac valves </w:t>
                                  </w:r>
                                  <w:r>
                                    <w:rPr>
                                      <w:sz w:val="21"/>
                                      <w:szCs w:val="21"/>
                                    </w:rPr>
                                    <w:t>or materials for valve repair</w:t>
                                  </w:r>
                                </w:p>
                                <w:p w:rsidR="00D86576" w:rsidRPr="002569AD" w:rsidRDefault="00D86576" w:rsidP="007772CF">
                                  <w:pPr>
                                    <w:pStyle w:val="ListParagraph"/>
                                    <w:numPr>
                                      <w:ilvl w:val="0"/>
                                      <w:numId w:val="13"/>
                                    </w:numPr>
                                    <w:rPr>
                                      <w:b/>
                                      <w:sz w:val="21"/>
                                      <w:szCs w:val="21"/>
                                    </w:rPr>
                                  </w:pPr>
                                  <w:r>
                                    <w:rPr>
                                      <w:sz w:val="21"/>
                                      <w:szCs w:val="21"/>
                                    </w:rPr>
                                    <w:t>Prior infective endocarditis</w:t>
                                  </w:r>
                                </w:p>
                                <w:p w:rsidR="00D86576" w:rsidRPr="002569AD" w:rsidRDefault="00D86576" w:rsidP="007772CF">
                                  <w:pPr>
                                    <w:pStyle w:val="ListParagraph"/>
                                    <w:numPr>
                                      <w:ilvl w:val="0"/>
                                      <w:numId w:val="13"/>
                                    </w:numPr>
                                    <w:rPr>
                                      <w:b/>
                                      <w:sz w:val="21"/>
                                      <w:szCs w:val="21"/>
                                    </w:rPr>
                                  </w:pPr>
                                  <w:r>
                                    <w:rPr>
                                      <w:sz w:val="21"/>
                                      <w:szCs w:val="21"/>
                                    </w:rPr>
                                    <w:t>C</w:t>
                                  </w:r>
                                  <w:r w:rsidRPr="00A54C15">
                                    <w:rPr>
                                      <w:sz w:val="21"/>
                                      <w:szCs w:val="21"/>
                                    </w:rPr>
                                    <w:t>ongenital heart disease (CDH</w:t>
                                  </w:r>
                                  <w:r>
                                    <w:rPr>
                                      <w:sz w:val="21"/>
                                      <w:szCs w:val="21"/>
                                    </w:rPr>
                                    <w:t>) such as unrepaired cyanotic CHD (including palliative shunts and conduits); c</w:t>
                                  </w:r>
                                  <w:r w:rsidRPr="002569AD">
                                    <w:rPr>
                                      <w:sz w:val="21"/>
                                      <w:szCs w:val="21"/>
                                    </w:rPr>
                                    <w:t>ompletely repaired defects with prosthetics during the first 6 months</w:t>
                                  </w:r>
                                  <w:r>
                                    <w:rPr>
                                      <w:sz w:val="21"/>
                                      <w:szCs w:val="21"/>
                                    </w:rPr>
                                    <w:t xml:space="preserve"> after the procedure; </w:t>
                                  </w:r>
                                  <w:r w:rsidRPr="002569AD">
                                    <w:rPr>
                                      <w:sz w:val="21"/>
                                      <w:szCs w:val="21"/>
                                    </w:rPr>
                                    <w:t>repaired CHD with residual defects at or n</w:t>
                                  </w:r>
                                  <w:r>
                                    <w:rPr>
                                      <w:sz w:val="21"/>
                                      <w:szCs w:val="21"/>
                                    </w:rPr>
                                    <w:t>ear the site of a prosthetic</w:t>
                                  </w:r>
                                  <w:r w:rsidRPr="002569AD">
                                    <w:rPr>
                                      <w:sz w:val="21"/>
                                      <w:szCs w:val="21"/>
                                    </w:rPr>
                                    <w:t xml:space="preserve"> patch</w:t>
                                  </w:r>
                                  <w:r>
                                    <w:rPr>
                                      <w:sz w:val="21"/>
                                      <w:szCs w:val="21"/>
                                    </w:rPr>
                                    <w:t xml:space="preserve"> or device </w:t>
                                  </w:r>
                                </w:p>
                                <w:p w:rsidR="00D86576" w:rsidRPr="002569AD" w:rsidRDefault="00D86576" w:rsidP="007772CF">
                                  <w:pPr>
                                    <w:pStyle w:val="ListParagraph"/>
                                    <w:numPr>
                                      <w:ilvl w:val="0"/>
                                      <w:numId w:val="13"/>
                                    </w:numPr>
                                    <w:rPr>
                                      <w:b/>
                                      <w:sz w:val="21"/>
                                      <w:szCs w:val="21"/>
                                    </w:rPr>
                                  </w:pPr>
                                  <w:r>
                                    <w:rPr>
                                      <w:sz w:val="21"/>
                                      <w:szCs w:val="21"/>
                                    </w:rPr>
                                    <w:t>C</w:t>
                                  </w:r>
                                  <w:r w:rsidRPr="002569AD">
                                    <w:rPr>
                                      <w:sz w:val="21"/>
                                      <w:szCs w:val="21"/>
                                    </w:rPr>
                                    <w:t>ardiac transplant recipi</w:t>
                                  </w:r>
                                  <w:r>
                                    <w:rPr>
                                      <w:sz w:val="21"/>
                                      <w:szCs w:val="21"/>
                                    </w:rPr>
                                    <w:t>ents with cardiac valvulopathy</w:t>
                                  </w:r>
                                </w:p>
                                <w:p w:rsidR="00D86576" w:rsidRPr="002569AD" w:rsidRDefault="00D86576" w:rsidP="005F059C">
                                  <w:pPr>
                                    <w:rPr>
                                      <w:b/>
                                      <w:sz w:val="21"/>
                                      <w:szCs w:val="21"/>
                                    </w:rPr>
                                  </w:pPr>
                                  <w:r w:rsidRPr="002569AD">
                                    <w:rPr>
                                      <w:sz w:val="21"/>
                                      <w:szCs w:val="21"/>
                                    </w:rPr>
                                    <w:t>In 2017 the AHA/American College of Cardiology expanded this AP recommendation to include:  patients with transcatheter prosthetic valves and patients with prosthetic material used for valve repair such as annuloplasty ri</w:t>
                                  </w:r>
                                  <w:r>
                                    <w:rPr>
                                      <w:sz w:val="21"/>
                                      <w:szCs w:val="21"/>
                                    </w:rPr>
                                    <w:t>ngs and chords.  The addition was</w:t>
                                  </w:r>
                                  <w:r w:rsidRPr="002569AD">
                                    <w:rPr>
                                      <w:sz w:val="21"/>
                                      <w:szCs w:val="21"/>
                                    </w:rPr>
                                    <w:t xml:space="preserve"> based on observational studies for increased risk of IE.</w:t>
                                  </w:r>
                                  <w:r w:rsidRPr="002569AD">
                                    <w:rPr>
                                      <w:sz w:val="21"/>
                                      <w:szCs w:val="21"/>
                                      <w:vertAlign w:val="superscript"/>
                                    </w:rPr>
                                    <w:t xml:space="preserve">15  </w:t>
                                  </w:r>
                                </w:p>
                              </w:tc>
                            </w:tr>
                            <w:tr w:rsidR="00D86576" w:rsidTr="007772CF">
                              <w:trPr>
                                <w:jc w:val="right"/>
                              </w:trPr>
                              <w:tc>
                                <w:tcPr>
                                  <w:tcW w:w="6553" w:type="dxa"/>
                                  <w:shd w:val="clear" w:color="auto" w:fill="BFBFBF" w:themeFill="background1" w:themeFillShade="BF"/>
                                </w:tcPr>
                                <w:p w:rsidR="00D86576" w:rsidRDefault="00D86576" w:rsidP="005F059C">
                                  <w:pPr>
                                    <w:rPr>
                                      <w:b/>
                                    </w:rPr>
                                  </w:pPr>
                                  <w:r>
                                    <w:rPr>
                                      <w:b/>
                                    </w:rPr>
                                    <w:t>Treatment</w:t>
                                  </w:r>
                                </w:p>
                              </w:tc>
                            </w:tr>
                            <w:tr w:rsidR="00D86576" w:rsidRPr="004A666E" w:rsidTr="007772CF">
                              <w:trPr>
                                <w:jc w:val="right"/>
                              </w:trPr>
                              <w:tc>
                                <w:tcPr>
                                  <w:tcW w:w="6553" w:type="dxa"/>
                                </w:tcPr>
                                <w:p w:rsidR="00D86576" w:rsidRDefault="00D86576" w:rsidP="005F059C">
                                  <w:pPr>
                                    <w:rPr>
                                      <w:sz w:val="21"/>
                                      <w:szCs w:val="21"/>
                                    </w:rPr>
                                  </w:pPr>
                                  <w:r w:rsidRPr="007E439F">
                                    <w:rPr>
                                      <w:sz w:val="21"/>
                                      <w:szCs w:val="21"/>
                                    </w:rPr>
                                    <w:t xml:space="preserve">Regimens </w:t>
                                  </w:r>
                                  <w:r>
                                    <w:rPr>
                                      <w:sz w:val="21"/>
                                      <w:szCs w:val="21"/>
                                    </w:rPr>
                                    <w:t>for IE prophylaxis include:</w:t>
                                  </w:r>
                                </w:p>
                                <w:p w:rsidR="00D86576" w:rsidRDefault="00D86576" w:rsidP="007772CF">
                                  <w:pPr>
                                    <w:pStyle w:val="ListParagraph"/>
                                    <w:numPr>
                                      <w:ilvl w:val="0"/>
                                      <w:numId w:val="2"/>
                                    </w:numPr>
                                    <w:rPr>
                                      <w:sz w:val="21"/>
                                      <w:szCs w:val="21"/>
                                    </w:rPr>
                                  </w:pPr>
                                  <w:r>
                                    <w:rPr>
                                      <w:sz w:val="21"/>
                                      <w:szCs w:val="21"/>
                                    </w:rPr>
                                    <w:t>A</w:t>
                                  </w:r>
                                  <w:r w:rsidRPr="004A666E">
                                    <w:rPr>
                                      <w:sz w:val="21"/>
                                      <w:szCs w:val="21"/>
                                    </w:rPr>
                                    <w:t xml:space="preserve">moxicillin 2Gm PO x1 30-60 minutes prior to the procedure, and ampicillin 2Gm IM or IV x1 30-60 minutes preop if unable to take oral medications.  </w:t>
                                  </w:r>
                                </w:p>
                                <w:p w:rsidR="00D86576" w:rsidRDefault="00D86576" w:rsidP="007772CF">
                                  <w:pPr>
                                    <w:pStyle w:val="ListParagraph"/>
                                    <w:numPr>
                                      <w:ilvl w:val="0"/>
                                      <w:numId w:val="2"/>
                                    </w:numPr>
                                    <w:rPr>
                                      <w:sz w:val="21"/>
                                      <w:szCs w:val="21"/>
                                    </w:rPr>
                                  </w:pPr>
                                  <w:r w:rsidRPr="004A666E">
                                    <w:rPr>
                                      <w:sz w:val="21"/>
                                      <w:szCs w:val="21"/>
                                    </w:rPr>
                                    <w:t>Patients with a penicillin allergy (non-severe reactions including rash) due to side-chain dissimilarity can safely be prescribed cephalexin 2Gm PO x1 30-60 minutes preop, and this is preferred over the alternative classes of antibiotics (macrolides and clindamycin) to optimize antibiotic coverage (</w:t>
                                  </w:r>
                                  <w:r>
                                    <w:rPr>
                                      <w:sz w:val="21"/>
                                      <w:szCs w:val="21"/>
                                    </w:rPr>
                                    <w:t xml:space="preserve">and </w:t>
                                  </w:r>
                                  <w:r w:rsidRPr="004A666E">
                                    <w:rPr>
                                      <w:sz w:val="21"/>
                                      <w:szCs w:val="21"/>
                                    </w:rPr>
                                    <w:t xml:space="preserve">less risk of antibiotic resistance) in balance with a safer antibiotic side effect profile.  </w:t>
                                  </w:r>
                                </w:p>
                                <w:p w:rsidR="00D86576" w:rsidRDefault="00D86576" w:rsidP="007772CF">
                                  <w:pPr>
                                    <w:pStyle w:val="ListParagraph"/>
                                    <w:numPr>
                                      <w:ilvl w:val="0"/>
                                      <w:numId w:val="2"/>
                                    </w:numPr>
                                    <w:rPr>
                                      <w:sz w:val="21"/>
                                      <w:szCs w:val="21"/>
                                    </w:rPr>
                                  </w:pPr>
                                  <w:r w:rsidRPr="004A666E">
                                    <w:rPr>
                                      <w:sz w:val="21"/>
                                      <w:szCs w:val="21"/>
                                    </w:rPr>
                                    <w:t xml:space="preserve">Cefazolin has a unique R-1 side chain and is also associated with low to no risk of cross-reactivity with penicillins in patients unable to take oral medication (cefazolin 1Gm IM or IV 30-60 minute preop).  </w:t>
                                  </w:r>
                                </w:p>
                                <w:p w:rsidR="00D86576" w:rsidRDefault="00D86576" w:rsidP="007772CF">
                                  <w:pPr>
                                    <w:pStyle w:val="ListParagraph"/>
                                    <w:numPr>
                                      <w:ilvl w:val="0"/>
                                      <w:numId w:val="2"/>
                                    </w:numPr>
                                    <w:rPr>
                                      <w:sz w:val="21"/>
                                      <w:szCs w:val="21"/>
                                    </w:rPr>
                                  </w:pPr>
                                  <w:r w:rsidRPr="004A666E">
                                    <w:rPr>
                                      <w:sz w:val="21"/>
                                      <w:szCs w:val="21"/>
                                    </w:rPr>
                                    <w:t xml:space="preserve">In the case of a severe (history of anaphylaxis, angioedema, or hives) penicillin allergy, </w:t>
                                  </w:r>
                                  <w:r>
                                    <w:rPr>
                                      <w:sz w:val="21"/>
                                      <w:szCs w:val="21"/>
                                    </w:rPr>
                                    <w:t xml:space="preserve">administer </w:t>
                                  </w:r>
                                  <w:r w:rsidRPr="004A666E">
                                    <w:rPr>
                                      <w:sz w:val="21"/>
                                      <w:szCs w:val="21"/>
                                    </w:rPr>
                                    <w:t xml:space="preserve">azithromycin 500mg PO x1 30-60 minutes preop.  </w:t>
                                  </w:r>
                                </w:p>
                                <w:p w:rsidR="00D86576" w:rsidRPr="004A666E" w:rsidRDefault="00D86576" w:rsidP="007772CF">
                                  <w:pPr>
                                    <w:pStyle w:val="ListParagraph"/>
                                    <w:numPr>
                                      <w:ilvl w:val="0"/>
                                      <w:numId w:val="2"/>
                                    </w:numPr>
                                    <w:rPr>
                                      <w:sz w:val="21"/>
                                      <w:szCs w:val="21"/>
                                    </w:rPr>
                                  </w:pPr>
                                  <w:r w:rsidRPr="004A666E">
                                    <w:rPr>
                                      <w:sz w:val="21"/>
                                      <w:szCs w:val="21"/>
                                    </w:rPr>
                                    <w:t xml:space="preserve">Alternatively, </w:t>
                                  </w:r>
                                  <w:r>
                                    <w:rPr>
                                      <w:sz w:val="21"/>
                                      <w:szCs w:val="21"/>
                                    </w:rPr>
                                    <w:t xml:space="preserve">consider </w:t>
                                  </w:r>
                                  <w:r w:rsidRPr="004A666E">
                                    <w:rPr>
                                      <w:sz w:val="21"/>
                                      <w:szCs w:val="21"/>
                                    </w:rPr>
                                    <w:t>clindamycin 60</w:t>
                                  </w:r>
                                  <w:r>
                                    <w:rPr>
                                      <w:sz w:val="21"/>
                                      <w:szCs w:val="21"/>
                                    </w:rPr>
                                    <w:t>0mg (PO, IM or IV) 30-60 min</w:t>
                                  </w:r>
                                  <w:r w:rsidRPr="004A666E">
                                    <w:rPr>
                                      <w:sz w:val="21"/>
                                      <w:szCs w:val="21"/>
                                    </w:rPr>
                                    <w:t xml:space="preserve"> preop.  </w:t>
                                  </w:r>
                                  <w:r>
                                    <w:rPr>
                                      <w:sz w:val="21"/>
                                      <w:szCs w:val="21"/>
                                    </w:rPr>
                                    <w:t>(</w:t>
                                  </w:r>
                                  <w:proofErr w:type="gramStart"/>
                                  <w:r>
                                    <w:rPr>
                                      <w:sz w:val="21"/>
                                      <w:szCs w:val="21"/>
                                    </w:rPr>
                                    <w:t>or</w:t>
                                  </w:r>
                                  <w:proofErr w:type="gramEnd"/>
                                  <w:r>
                                    <w:rPr>
                                      <w:sz w:val="21"/>
                                      <w:szCs w:val="21"/>
                                    </w:rPr>
                                    <w:t xml:space="preserve"> </w:t>
                                  </w:r>
                                  <w:r w:rsidRPr="004A666E">
                                    <w:rPr>
                                      <w:sz w:val="21"/>
                                      <w:szCs w:val="21"/>
                                    </w:rPr>
                                    <w:t xml:space="preserve">clarithromycin 500mg PO x1 30-60 </w:t>
                                  </w:r>
                                  <w:r>
                                    <w:rPr>
                                      <w:sz w:val="21"/>
                                      <w:szCs w:val="21"/>
                                    </w:rPr>
                                    <w:t xml:space="preserve">min </w:t>
                                  </w:r>
                                  <w:r w:rsidRPr="004A666E">
                                    <w:rPr>
                                      <w:sz w:val="21"/>
                                      <w:szCs w:val="21"/>
                                    </w:rPr>
                                    <w:t>preop</w:t>
                                  </w:r>
                                  <w:r>
                                    <w:rPr>
                                      <w:sz w:val="21"/>
                                      <w:szCs w:val="21"/>
                                    </w:rPr>
                                    <w:t>)</w:t>
                                  </w:r>
                                  <w:r w:rsidRPr="004A666E">
                                    <w:rPr>
                                      <w:sz w:val="21"/>
                                      <w:szCs w:val="21"/>
                                    </w:rPr>
                                    <w:t>.</w:t>
                                  </w:r>
                                </w:p>
                              </w:tc>
                            </w:tr>
                          </w:tbl>
                          <w:p w:rsidR="00D86576" w:rsidRDefault="00D86576" w:rsidP="00D86576">
                            <w: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9.8pt;margin-top:-61.5pt;width:346.5pt;height:110.55pt;rotation:180;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" fillcolor="white [3212]" strokecolor="white [3212]">
                <v:textbox style="mso-fit-shape-to-text:t">
                  <w:txbxContent>
                    <w:tbl>
                      <w:tblPr>
                        <w:tblStyle w:val="TableGrid"/>
                        <w:tblW w:w="6553" w:type="dxa"/>
                        <w:jc w:val="right"/>
                        <w:tblInd w:w="-578" w:type="dxa"/>
                        <w:tblLook w:val="04A0" w:firstRow="1" w:lastRow="0" w:firstColumn="1" w:lastColumn="0" w:noHBand="0" w:noVBand="1"/>
                      </w:tblPr>
                      <w:tblGrid>
                        <w:gridCol w:w="6553"/>
                      </w:tblGrid>
                      <w:tr w:rsidR="00D86576" w:rsidRPr="00A54C15" w:rsidTr="007772CF">
                        <w:trPr>
                          <w:jc w:val="right"/>
                        </w:trPr>
                        <w:tc>
                          <w:tcPr>
                            <w:tcW w:w="6553" w:type="dxa"/>
                            <w:shd w:val="clear" w:color="auto" w:fill="00B0F0"/>
                          </w:tcPr>
                          <w:p w:rsidR="00D86576" w:rsidRPr="00A54C15" w:rsidRDefault="00D86576" w:rsidP="005F059C">
                            <w:pPr>
                              <w:rPr>
                                <w:b/>
                                <w:color w:val="FFFFFF" w:themeColor="background1"/>
                                <w:sz w:val="24"/>
                                <w:szCs w:val="24"/>
                              </w:rPr>
                            </w:pPr>
                            <w:r>
                              <w:rPr>
                                <w:b/>
                                <w:color w:val="FFFFFF" w:themeColor="background1"/>
                                <w:sz w:val="24"/>
                                <w:szCs w:val="24"/>
                              </w:rPr>
                              <w:t>#2) Prophylaxis to prevent IE management continued:</w:t>
                            </w:r>
                          </w:p>
                        </w:tc>
                      </w:tr>
                      <w:tr w:rsidR="00D86576" w:rsidRPr="002569AD" w:rsidTr="007772CF">
                        <w:trPr>
                          <w:jc w:val="right"/>
                        </w:trPr>
                        <w:tc>
                          <w:tcPr>
                            <w:tcW w:w="6553" w:type="dxa"/>
                          </w:tcPr>
                          <w:p w:rsidR="00D86576" w:rsidRPr="002569AD" w:rsidRDefault="00D86576" w:rsidP="007772CF">
                            <w:pPr>
                              <w:pStyle w:val="ListParagraph"/>
                              <w:numPr>
                                <w:ilvl w:val="0"/>
                                <w:numId w:val="13"/>
                              </w:numPr>
                              <w:rPr>
                                <w:b/>
                                <w:sz w:val="21"/>
                                <w:szCs w:val="21"/>
                              </w:rPr>
                            </w:pPr>
                            <w:r>
                              <w:rPr>
                                <w:sz w:val="21"/>
                                <w:szCs w:val="21"/>
                              </w:rPr>
                              <w:t>P</w:t>
                            </w:r>
                            <w:r w:rsidRPr="00A54C15">
                              <w:rPr>
                                <w:sz w:val="21"/>
                                <w:szCs w:val="21"/>
                              </w:rPr>
                              <w:t xml:space="preserve">rosthetic cardiac valves </w:t>
                            </w:r>
                            <w:r>
                              <w:rPr>
                                <w:sz w:val="21"/>
                                <w:szCs w:val="21"/>
                              </w:rPr>
                              <w:t>or materials for valve repair</w:t>
                            </w:r>
                          </w:p>
                          <w:p w:rsidR="00D86576" w:rsidRPr="002569AD" w:rsidRDefault="00D86576" w:rsidP="007772CF">
                            <w:pPr>
                              <w:pStyle w:val="ListParagraph"/>
                              <w:numPr>
                                <w:ilvl w:val="0"/>
                                <w:numId w:val="13"/>
                              </w:numPr>
                              <w:rPr>
                                <w:b/>
                                <w:sz w:val="21"/>
                                <w:szCs w:val="21"/>
                              </w:rPr>
                            </w:pPr>
                            <w:r>
                              <w:rPr>
                                <w:sz w:val="21"/>
                                <w:szCs w:val="21"/>
                              </w:rPr>
                              <w:t>Prior infective endocarditis</w:t>
                            </w:r>
                          </w:p>
                          <w:p w:rsidR="00D86576" w:rsidRPr="002569AD" w:rsidRDefault="00D86576" w:rsidP="007772CF">
                            <w:pPr>
                              <w:pStyle w:val="ListParagraph"/>
                              <w:numPr>
                                <w:ilvl w:val="0"/>
                                <w:numId w:val="13"/>
                              </w:numPr>
                              <w:rPr>
                                <w:b/>
                                <w:sz w:val="21"/>
                                <w:szCs w:val="21"/>
                              </w:rPr>
                            </w:pPr>
                            <w:r>
                              <w:rPr>
                                <w:sz w:val="21"/>
                                <w:szCs w:val="21"/>
                              </w:rPr>
                              <w:t>C</w:t>
                            </w:r>
                            <w:r w:rsidRPr="00A54C15">
                              <w:rPr>
                                <w:sz w:val="21"/>
                                <w:szCs w:val="21"/>
                              </w:rPr>
                              <w:t>ongenital heart disease (CDH</w:t>
                            </w:r>
                            <w:r>
                              <w:rPr>
                                <w:sz w:val="21"/>
                                <w:szCs w:val="21"/>
                              </w:rPr>
                              <w:t>) such as unrepaired cyanotic CHD (including palliative shunts and conduits); c</w:t>
                            </w:r>
                            <w:r w:rsidRPr="002569AD">
                              <w:rPr>
                                <w:sz w:val="21"/>
                                <w:szCs w:val="21"/>
                              </w:rPr>
                              <w:t>ompletely repaired defects with prosthetics during the first 6 months</w:t>
                            </w:r>
                            <w:r>
                              <w:rPr>
                                <w:sz w:val="21"/>
                                <w:szCs w:val="21"/>
                              </w:rPr>
                              <w:t xml:space="preserve"> after the procedure; </w:t>
                            </w:r>
                            <w:r w:rsidRPr="002569AD">
                              <w:rPr>
                                <w:sz w:val="21"/>
                                <w:szCs w:val="21"/>
                              </w:rPr>
                              <w:t>repaired CHD with residual defects at or n</w:t>
                            </w:r>
                            <w:r>
                              <w:rPr>
                                <w:sz w:val="21"/>
                                <w:szCs w:val="21"/>
                              </w:rPr>
                              <w:t>ear the site of a prosthetic</w:t>
                            </w:r>
                            <w:r w:rsidRPr="002569AD">
                              <w:rPr>
                                <w:sz w:val="21"/>
                                <w:szCs w:val="21"/>
                              </w:rPr>
                              <w:t xml:space="preserve"> patch</w:t>
                            </w:r>
                            <w:r>
                              <w:rPr>
                                <w:sz w:val="21"/>
                                <w:szCs w:val="21"/>
                              </w:rPr>
                              <w:t xml:space="preserve"> or device </w:t>
                            </w:r>
                          </w:p>
                          <w:p w:rsidR="00D86576" w:rsidRPr="002569AD" w:rsidRDefault="00D86576" w:rsidP="007772CF">
                            <w:pPr>
                              <w:pStyle w:val="ListParagraph"/>
                              <w:numPr>
                                <w:ilvl w:val="0"/>
                                <w:numId w:val="13"/>
                              </w:numPr>
                              <w:rPr>
                                <w:b/>
                                <w:sz w:val="21"/>
                                <w:szCs w:val="21"/>
                              </w:rPr>
                            </w:pPr>
                            <w:r>
                              <w:rPr>
                                <w:sz w:val="21"/>
                                <w:szCs w:val="21"/>
                              </w:rPr>
                              <w:t>C</w:t>
                            </w:r>
                            <w:r w:rsidRPr="002569AD">
                              <w:rPr>
                                <w:sz w:val="21"/>
                                <w:szCs w:val="21"/>
                              </w:rPr>
                              <w:t>ardiac transplant recipi</w:t>
                            </w:r>
                            <w:r>
                              <w:rPr>
                                <w:sz w:val="21"/>
                                <w:szCs w:val="21"/>
                              </w:rPr>
                              <w:t>ents with cardiac valvulopathy</w:t>
                            </w:r>
                          </w:p>
                          <w:p w:rsidR="00D86576" w:rsidRPr="002569AD" w:rsidRDefault="00D86576" w:rsidP="005F059C">
                            <w:pPr>
                              <w:rPr>
                                <w:b/>
                                <w:sz w:val="21"/>
                                <w:szCs w:val="21"/>
                              </w:rPr>
                            </w:pPr>
                            <w:r w:rsidRPr="002569AD">
                              <w:rPr>
                                <w:sz w:val="21"/>
                                <w:szCs w:val="21"/>
                              </w:rPr>
                              <w:t>In 2017 the AHA/American College of Cardiology expanded this AP recommendation to include:  patients with transcatheter prosthetic valves and patients with prosthetic material used for valve repair such as annuloplasty ri</w:t>
                            </w:r>
                            <w:r>
                              <w:rPr>
                                <w:sz w:val="21"/>
                                <w:szCs w:val="21"/>
                              </w:rPr>
                              <w:t>ngs and chords.  The addition was</w:t>
                            </w:r>
                            <w:r w:rsidRPr="002569AD">
                              <w:rPr>
                                <w:sz w:val="21"/>
                                <w:szCs w:val="21"/>
                              </w:rPr>
                              <w:t xml:space="preserve"> based on observational studies for increased risk of IE.</w:t>
                            </w:r>
                            <w:r w:rsidRPr="002569AD">
                              <w:rPr>
                                <w:sz w:val="21"/>
                                <w:szCs w:val="21"/>
                                <w:vertAlign w:val="superscript"/>
                              </w:rPr>
                              <w:t xml:space="preserve">15  </w:t>
                            </w:r>
                          </w:p>
                        </w:tc>
                      </w:tr>
                      <w:tr w:rsidR="00D86576" w:rsidTr="007772CF">
                        <w:trPr>
                          <w:jc w:val="right"/>
                        </w:trPr>
                        <w:tc>
                          <w:tcPr>
                            <w:tcW w:w="6553" w:type="dxa"/>
                            <w:shd w:val="clear" w:color="auto" w:fill="BFBFBF" w:themeFill="background1" w:themeFillShade="BF"/>
                          </w:tcPr>
                          <w:p w:rsidR="00D86576" w:rsidRDefault="00D86576" w:rsidP="005F059C">
                            <w:pPr>
                              <w:rPr>
                                <w:b/>
                              </w:rPr>
                            </w:pPr>
                            <w:r>
                              <w:rPr>
                                <w:b/>
                              </w:rPr>
                              <w:t>Treatment</w:t>
                            </w:r>
                          </w:p>
                        </w:tc>
                      </w:tr>
                      <w:tr w:rsidR="00D86576" w:rsidRPr="004A666E" w:rsidTr="007772CF">
                        <w:trPr>
                          <w:jc w:val="right"/>
                        </w:trPr>
                        <w:tc>
                          <w:tcPr>
                            <w:tcW w:w="6553" w:type="dxa"/>
                          </w:tcPr>
                          <w:p w:rsidR="00D86576" w:rsidRDefault="00D86576" w:rsidP="005F059C">
                            <w:pPr>
                              <w:rPr>
                                <w:sz w:val="21"/>
                                <w:szCs w:val="21"/>
                              </w:rPr>
                            </w:pPr>
                            <w:r w:rsidRPr="007E439F">
                              <w:rPr>
                                <w:sz w:val="21"/>
                                <w:szCs w:val="21"/>
                              </w:rPr>
                              <w:t xml:space="preserve">Regimens </w:t>
                            </w:r>
                            <w:r>
                              <w:rPr>
                                <w:sz w:val="21"/>
                                <w:szCs w:val="21"/>
                              </w:rPr>
                              <w:t>for IE prophylaxis include:</w:t>
                            </w:r>
                          </w:p>
                          <w:p w:rsidR="00D86576" w:rsidRDefault="00D86576" w:rsidP="007772CF">
                            <w:pPr>
                              <w:pStyle w:val="ListParagraph"/>
                              <w:numPr>
                                <w:ilvl w:val="0"/>
                                <w:numId w:val="2"/>
                              </w:numPr>
                              <w:rPr>
                                <w:sz w:val="21"/>
                                <w:szCs w:val="21"/>
                              </w:rPr>
                            </w:pPr>
                            <w:r>
                              <w:rPr>
                                <w:sz w:val="21"/>
                                <w:szCs w:val="21"/>
                              </w:rPr>
                              <w:t>A</w:t>
                            </w:r>
                            <w:r w:rsidRPr="004A666E">
                              <w:rPr>
                                <w:sz w:val="21"/>
                                <w:szCs w:val="21"/>
                              </w:rPr>
                              <w:t xml:space="preserve">moxicillin 2Gm PO x1 30-60 minutes prior to the procedure, and ampicillin 2Gm IM or IV x1 30-60 minutes preop if unable to take oral medications.  </w:t>
                            </w:r>
                          </w:p>
                          <w:p w:rsidR="00D86576" w:rsidRDefault="00D86576" w:rsidP="007772CF">
                            <w:pPr>
                              <w:pStyle w:val="ListParagraph"/>
                              <w:numPr>
                                <w:ilvl w:val="0"/>
                                <w:numId w:val="2"/>
                              </w:numPr>
                              <w:rPr>
                                <w:sz w:val="21"/>
                                <w:szCs w:val="21"/>
                              </w:rPr>
                            </w:pPr>
                            <w:r w:rsidRPr="004A666E">
                              <w:rPr>
                                <w:sz w:val="21"/>
                                <w:szCs w:val="21"/>
                              </w:rPr>
                              <w:t>Patients with a penicillin allergy (non-severe reactions including rash) due to side-chain dissimilarity can safely be prescribed cephalexin 2Gm PO x1 30-60 minutes preop, and this is preferred over the alternative classes of antibiotics (macrolides and clindamycin) to optimize antibiotic coverage (</w:t>
                            </w:r>
                            <w:r>
                              <w:rPr>
                                <w:sz w:val="21"/>
                                <w:szCs w:val="21"/>
                              </w:rPr>
                              <w:t xml:space="preserve">and </w:t>
                            </w:r>
                            <w:r w:rsidRPr="004A666E">
                              <w:rPr>
                                <w:sz w:val="21"/>
                                <w:szCs w:val="21"/>
                              </w:rPr>
                              <w:t xml:space="preserve">less risk of antibiotic resistance) in balance with a safer antibiotic side effect profile.  </w:t>
                            </w:r>
                          </w:p>
                          <w:p w:rsidR="00D86576" w:rsidRDefault="00D86576" w:rsidP="007772CF">
                            <w:pPr>
                              <w:pStyle w:val="ListParagraph"/>
                              <w:numPr>
                                <w:ilvl w:val="0"/>
                                <w:numId w:val="2"/>
                              </w:numPr>
                              <w:rPr>
                                <w:sz w:val="21"/>
                                <w:szCs w:val="21"/>
                              </w:rPr>
                            </w:pPr>
                            <w:r w:rsidRPr="004A666E">
                              <w:rPr>
                                <w:sz w:val="21"/>
                                <w:szCs w:val="21"/>
                              </w:rPr>
                              <w:t xml:space="preserve">Cefazolin has a unique R-1 side chain and is also associated with low to no risk of cross-reactivity with penicillins in patients unable to take oral medication (cefazolin 1Gm IM or IV 30-60 minute preop).  </w:t>
                            </w:r>
                          </w:p>
                          <w:p w:rsidR="00D86576" w:rsidRDefault="00D86576" w:rsidP="007772CF">
                            <w:pPr>
                              <w:pStyle w:val="ListParagraph"/>
                              <w:numPr>
                                <w:ilvl w:val="0"/>
                                <w:numId w:val="2"/>
                              </w:numPr>
                              <w:rPr>
                                <w:sz w:val="21"/>
                                <w:szCs w:val="21"/>
                              </w:rPr>
                            </w:pPr>
                            <w:r w:rsidRPr="004A666E">
                              <w:rPr>
                                <w:sz w:val="21"/>
                                <w:szCs w:val="21"/>
                              </w:rPr>
                              <w:t xml:space="preserve">In the case of a severe (history of anaphylaxis, angioedema, or hives) penicillin allergy, </w:t>
                            </w:r>
                            <w:r>
                              <w:rPr>
                                <w:sz w:val="21"/>
                                <w:szCs w:val="21"/>
                              </w:rPr>
                              <w:t xml:space="preserve">administer </w:t>
                            </w:r>
                            <w:r w:rsidRPr="004A666E">
                              <w:rPr>
                                <w:sz w:val="21"/>
                                <w:szCs w:val="21"/>
                              </w:rPr>
                              <w:t xml:space="preserve">azithromycin 500mg PO x1 30-60 minutes preop.  </w:t>
                            </w:r>
                          </w:p>
                          <w:p w:rsidR="00D86576" w:rsidRPr="004A666E" w:rsidRDefault="00D86576" w:rsidP="007772CF">
                            <w:pPr>
                              <w:pStyle w:val="ListParagraph"/>
                              <w:numPr>
                                <w:ilvl w:val="0"/>
                                <w:numId w:val="2"/>
                              </w:numPr>
                              <w:rPr>
                                <w:sz w:val="21"/>
                                <w:szCs w:val="21"/>
                              </w:rPr>
                            </w:pPr>
                            <w:r w:rsidRPr="004A666E">
                              <w:rPr>
                                <w:sz w:val="21"/>
                                <w:szCs w:val="21"/>
                              </w:rPr>
                              <w:t xml:space="preserve">Alternatively, </w:t>
                            </w:r>
                            <w:r>
                              <w:rPr>
                                <w:sz w:val="21"/>
                                <w:szCs w:val="21"/>
                              </w:rPr>
                              <w:t xml:space="preserve">consider </w:t>
                            </w:r>
                            <w:r w:rsidRPr="004A666E">
                              <w:rPr>
                                <w:sz w:val="21"/>
                                <w:szCs w:val="21"/>
                              </w:rPr>
                              <w:t>clindamycin 60</w:t>
                            </w:r>
                            <w:r>
                              <w:rPr>
                                <w:sz w:val="21"/>
                                <w:szCs w:val="21"/>
                              </w:rPr>
                              <w:t>0mg (PO, IM or IV) 30-60 min</w:t>
                            </w:r>
                            <w:r w:rsidRPr="004A666E">
                              <w:rPr>
                                <w:sz w:val="21"/>
                                <w:szCs w:val="21"/>
                              </w:rPr>
                              <w:t xml:space="preserve"> preop.  </w:t>
                            </w:r>
                            <w:r>
                              <w:rPr>
                                <w:sz w:val="21"/>
                                <w:szCs w:val="21"/>
                              </w:rPr>
                              <w:t>(</w:t>
                            </w:r>
                            <w:proofErr w:type="gramStart"/>
                            <w:r>
                              <w:rPr>
                                <w:sz w:val="21"/>
                                <w:szCs w:val="21"/>
                              </w:rPr>
                              <w:t>or</w:t>
                            </w:r>
                            <w:proofErr w:type="gramEnd"/>
                            <w:r>
                              <w:rPr>
                                <w:sz w:val="21"/>
                                <w:szCs w:val="21"/>
                              </w:rPr>
                              <w:t xml:space="preserve"> </w:t>
                            </w:r>
                            <w:r w:rsidRPr="004A666E">
                              <w:rPr>
                                <w:sz w:val="21"/>
                                <w:szCs w:val="21"/>
                              </w:rPr>
                              <w:t xml:space="preserve">clarithromycin 500mg PO x1 30-60 </w:t>
                            </w:r>
                            <w:r>
                              <w:rPr>
                                <w:sz w:val="21"/>
                                <w:szCs w:val="21"/>
                              </w:rPr>
                              <w:t xml:space="preserve">min </w:t>
                            </w:r>
                            <w:r w:rsidRPr="004A666E">
                              <w:rPr>
                                <w:sz w:val="21"/>
                                <w:szCs w:val="21"/>
                              </w:rPr>
                              <w:t>preop</w:t>
                            </w:r>
                            <w:r>
                              <w:rPr>
                                <w:sz w:val="21"/>
                                <w:szCs w:val="21"/>
                              </w:rPr>
                              <w:t>)</w:t>
                            </w:r>
                            <w:r w:rsidRPr="004A666E">
                              <w:rPr>
                                <w:sz w:val="21"/>
                                <w:szCs w:val="21"/>
                              </w:rPr>
                              <w:t>.</w:t>
                            </w:r>
                          </w:p>
                        </w:tc>
                      </w:tr>
                    </w:tbl>
                    <w:p w:rsidR="00D86576" w:rsidRDefault="00D86576" w:rsidP="00D86576">
                      <w:r>
                        <w:tab/>
                      </w:r>
                    </w:p>
                  </w:txbxContent>
                </v:textbox>
              </v:shape>
            </w:pict>
          </mc:Fallback>
        </mc:AlternateContent>
      </w:r>
    </w:p>
    <w:p w:rsidR="00C517C7" w:rsidRDefault="00C517C7" w:rsidP="00B6024B"/>
    <w:tbl>
      <w:tblPr>
        <w:tblStyle w:val="TableGrid"/>
        <w:tblpPr w:leftFromText="180" w:rightFromText="180" w:vertAnchor="page" w:horzAnchor="page" w:tblpX="703" w:tblpY="1006"/>
        <w:tblW w:w="0" w:type="auto"/>
        <w:tblLook w:val="04A0" w:firstRow="1" w:lastRow="0" w:firstColumn="1" w:lastColumn="0" w:noHBand="0" w:noVBand="1"/>
      </w:tblPr>
      <w:tblGrid>
        <w:gridCol w:w="6588"/>
      </w:tblGrid>
      <w:tr w:rsidR="00C517C7" w:rsidRPr="003372F6" w:rsidTr="00C517C7">
        <w:tc>
          <w:tcPr>
            <w:tcW w:w="6588" w:type="dxa"/>
            <w:shd w:val="clear" w:color="auto" w:fill="00B0F0"/>
          </w:tcPr>
          <w:p w:rsidR="00C517C7" w:rsidRPr="003372F6" w:rsidRDefault="00C517C7" w:rsidP="00C517C7">
            <w:pPr>
              <w:rPr>
                <w:b/>
                <w:color w:val="FFFFFF" w:themeColor="background1"/>
                <w:sz w:val="24"/>
                <w:szCs w:val="24"/>
              </w:rPr>
            </w:pPr>
            <w:r>
              <w:rPr>
                <w:b/>
                <w:color w:val="FFFFFF" w:themeColor="background1"/>
                <w:sz w:val="24"/>
                <w:szCs w:val="24"/>
              </w:rPr>
              <w:t>#3) P</w:t>
            </w:r>
            <w:r w:rsidRPr="004A7145">
              <w:rPr>
                <w:b/>
                <w:color w:val="FFFFFF" w:themeColor="background1"/>
                <w:sz w:val="24"/>
                <w:szCs w:val="24"/>
              </w:rPr>
              <w:t>rophy</w:t>
            </w:r>
            <w:r>
              <w:rPr>
                <w:b/>
                <w:color w:val="FFFFFF" w:themeColor="background1"/>
                <w:sz w:val="24"/>
                <w:szCs w:val="24"/>
              </w:rPr>
              <w:t>laxis to prevent prosthetic joint infections</w:t>
            </w:r>
            <w:r w:rsidRPr="004A7145">
              <w:rPr>
                <w:b/>
                <w:color w:val="FFFFFF" w:themeColor="background1"/>
                <w:sz w:val="24"/>
                <w:szCs w:val="24"/>
              </w:rPr>
              <w:t>:</w:t>
            </w:r>
            <w:r>
              <w:rPr>
                <w:b/>
                <w:color w:val="FFFFFF" w:themeColor="background1"/>
                <w:sz w:val="24"/>
                <w:szCs w:val="24"/>
                <w:vertAlign w:val="superscript"/>
              </w:rPr>
              <w:t>5, 13</w:t>
            </w:r>
          </w:p>
        </w:tc>
      </w:tr>
      <w:tr w:rsidR="00C517C7" w:rsidTr="00C517C7">
        <w:tc>
          <w:tcPr>
            <w:tcW w:w="6588" w:type="dxa"/>
            <w:shd w:val="clear" w:color="auto" w:fill="BFBFBF" w:themeFill="background1" w:themeFillShade="BF"/>
          </w:tcPr>
          <w:p w:rsidR="00C517C7" w:rsidRDefault="00C517C7" w:rsidP="00C517C7">
            <w:pPr>
              <w:rPr>
                <w:b/>
              </w:rPr>
            </w:pPr>
            <w:r>
              <w:rPr>
                <w:b/>
              </w:rPr>
              <w:t xml:space="preserve">Management </w:t>
            </w:r>
          </w:p>
        </w:tc>
      </w:tr>
      <w:tr w:rsidR="00C517C7" w:rsidRPr="00965C03" w:rsidTr="00C517C7">
        <w:tc>
          <w:tcPr>
            <w:tcW w:w="6588" w:type="dxa"/>
            <w:shd w:val="clear" w:color="auto" w:fill="FFFFFF" w:themeFill="background1"/>
          </w:tcPr>
          <w:p w:rsidR="00C517C7" w:rsidRPr="00965C03" w:rsidRDefault="00C517C7" w:rsidP="00C517C7">
            <w:pPr>
              <w:rPr>
                <w:b/>
                <w:sz w:val="21"/>
                <w:szCs w:val="21"/>
                <w:vertAlign w:val="superscript"/>
              </w:rPr>
            </w:pPr>
            <w:r w:rsidRPr="007E439F">
              <w:rPr>
                <w:sz w:val="21"/>
                <w:szCs w:val="21"/>
              </w:rPr>
              <w:t>The best available evidence to date shows that dental procedures are not associated with a prosthetic joint infection (PJI) in the immunocompetent patient.</w:t>
            </w:r>
            <w:r w:rsidRPr="00922D55">
              <w:rPr>
                <w:sz w:val="21"/>
                <w:szCs w:val="21"/>
                <w:vertAlign w:val="superscript"/>
              </w:rPr>
              <w:t>16-</w:t>
            </w:r>
            <w:r w:rsidRPr="007E439F">
              <w:rPr>
                <w:sz w:val="21"/>
                <w:szCs w:val="21"/>
                <w:vertAlign w:val="superscript"/>
              </w:rPr>
              <w:t xml:space="preserve">18 </w:t>
            </w:r>
            <w:r w:rsidRPr="007E439F">
              <w:rPr>
                <w:sz w:val="21"/>
                <w:szCs w:val="21"/>
              </w:rPr>
              <w:t>In a case-control study of 339 patients with PJIs, Berbari et al</w:t>
            </w:r>
            <w:r w:rsidRPr="007E439F">
              <w:rPr>
                <w:sz w:val="21"/>
                <w:szCs w:val="21"/>
                <w:vertAlign w:val="superscript"/>
              </w:rPr>
              <w:t>19</w:t>
            </w:r>
            <w:r w:rsidRPr="007E439F">
              <w:rPr>
                <w:sz w:val="21"/>
                <w:szCs w:val="21"/>
              </w:rPr>
              <w:t xml:space="preserve"> matched cases with 339 control patients without infection and assessed dental procedure as “exposure”.  In the immunocompetent patient, there was no statistical association between high-risk procedures (i.e. extractions, dental abscess treatment) without AP and PJI at six months or two years. The American Association of Orthopedic Surgeons’</w:t>
            </w:r>
            <w:r>
              <w:rPr>
                <w:sz w:val="21"/>
                <w:szCs w:val="21"/>
                <w:vertAlign w:val="superscript"/>
              </w:rPr>
              <w:t>20</w:t>
            </w:r>
            <w:r w:rsidRPr="007E439F">
              <w:rPr>
                <w:sz w:val="21"/>
                <w:szCs w:val="21"/>
              </w:rPr>
              <w:t xml:space="preserve"> recommends prophylaxis for severely immunocompromised patients in the fo</w:t>
            </w:r>
            <w:r>
              <w:rPr>
                <w:sz w:val="21"/>
                <w:szCs w:val="21"/>
              </w:rPr>
              <w:t>llowing categories: Stage 3 AIDS</w:t>
            </w:r>
            <w:r w:rsidRPr="007E439F">
              <w:rPr>
                <w:sz w:val="21"/>
                <w:szCs w:val="21"/>
              </w:rPr>
              <w:t>, patients undergoing immunosuppressive chemotherapy, immunosuppressed patients with solid organ transplants, and during certain stages of bone marrow tr</w:t>
            </w:r>
            <w:r>
              <w:rPr>
                <w:sz w:val="21"/>
                <w:szCs w:val="21"/>
              </w:rPr>
              <w:t>ansplantation.</w:t>
            </w:r>
          </w:p>
        </w:tc>
      </w:tr>
      <w:tr w:rsidR="00C517C7" w:rsidTr="00C517C7">
        <w:tc>
          <w:tcPr>
            <w:tcW w:w="6588" w:type="dxa"/>
            <w:shd w:val="clear" w:color="auto" w:fill="BFBFBF" w:themeFill="background1" w:themeFillShade="BF"/>
          </w:tcPr>
          <w:p w:rsidR="00C517C7" w:rsidRDefault="00C517C7" w:rsidP="00C517C7">
            <w:pPr>
              <w:rPr>
                <w:b/>
              </w:rPr>
            </w:pPr>
            <w:r>
              <w:rPr>
                <w:b/>
              </w:rPr>
              <w:t xml:space="preserve"> Treatment</w:t>
            </w:r>
          </w:p>
        </w:tc>
      </w:tr>
      <w:tr w:rsidR="00C517C7" w:rsidRPr="007E439F" w:rsidTr="00C517C7">
        <w:tc>
          <w:tcPr>
            <w:tcW w:w="6588" w:type="dxa"/>
          </w:tcPr>
          <w:p w:rsidR="00C517C7" w:rsidRPr="007E439F" w:rsidRDefault="00C517C7" w:rsidP="00C517C7">
            <w:pPr>
              <w:rPr>
                <w:sz w:val="21"/>
                <w:szCs w:val="21"/>
              </w:rPr>
            </w:pPr>
            <w:r w:rsidRPr="007E439F">
              <w:rPr>
                <w:sz w:val="21"/>
                <w:szCs w:val="21"/>
              </w:rPr>
              <w:t xml:space="preserve">If this practice is being recommended by an orthopedic surgeon and your clinician-to-clinician discussion of risk vs benefit is unable to persuade the surgeon and/or patient away from prophylaxis and the decision is made collectively to prescribe, the same regimen is followed as that of infective endocarditis prophylaxis. </w:t>
            </w:r>
          </w:p>
        </w:tc>
      </w:tr>
    </w:tbl>
    <w:p w:rsidR="00C517C7" w:rsidRDefault="00C517C7" w:rsidP="00B6024B"/>
    <w:p w:rsidR="00C517C7" w:rsidRDefault="00C517C7" w:rsidP="00C517C7">
      <w:pPr>
        <w:jc w:val="center"/>
      </w:pPr>
      <w:r>
        <w:rPr>
          <w:noProof/>
        </w:rPr>
        <w:drawing>
          <wp:inline distT="0" distB="0" distL="0" distR="0" wp14:anchorId="1D4AA8F5" wp14:editId="5440807E">
            <wp:extent cx="3919316" cy="2533650"/>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PNG"/>
                    <pic:cNvPicPr/>
                  </pic:nvPicPr>
                  <pic:blipFill>
                    <a:blip r:embed="rId15">
                      <a:extLst>
                        <a:ext uri="{28A0092B-C50C-407E-A947-70E740481C1C}">
                          <a14:useLocalDpi xmlns:a14="http://schemas.microsoft.com/office/drawing/2010/main" val="0"/>
                        </a:ext>
                      </a:extLst>
                    </a:blip>
                    <a:stretch>
                      <a:fillRect/>
                    </a:stretch>
                  </pic:blipFill>
                  <pic:spPr>
                    <a:xfrm>
                      <a:off x="0" y="0"/>
                      <a:ext cx="3919316" cy="2533650"/>
                    </a:xfrm>
                    <a:prstGeom prst="rect">
                      <a:avLst/>
                    </a:prstGeom>
                  </pic:spPr>
                </pic:pic>
              </a:graphicData>
            </a:graphic>
          </wp:inline>
        </w:drawing>
      </w:r>
    </w:p>
    <w:p w:rsidR="00C517C7" w:rsidRDefault="00C517C7" w:rsidP="00C517C7">
      <w:pPr>
        <w:jc w:val="center"/>
      </w:pPr>
    </w:p>
    <w:p w:rsidR="005713AD" w:rsidRDefault="005713AD" w:rsidP="005713AD"/>
    <w:p w:rsidR="005713AD" w:rsidRDefault="005713AD" w:rsidP="005713AD">
      <w:r>
        <w:rPr>
          <w:noProof/>
        </w:rPr>
        <w:drawing>
          <wp:inline distT="0" distB="0" distL="0" distR="0" wp14:anchorId="37E12AA8" wp14:editId="542E3457">
            <wp:extent cx="4625352" cy="2187575"/>
            <wp:effectExtent l="0" t="0" r="381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25352" cy="2187575"/>
                    </a:xfrm>
                    <a:prstGeom prst="rect">
                      <a:avLst/>
                    </a:prstGeom>
                  </pic:spPr>
                </pic:pic>
              </a:graphicData>
            </a:graphic>
          </wp:inline>
        </w:drawing>
      </w:r>
    </w:p>
    <w:p w:rsidR="005713AD" w:rsidRDefault="005713AD" w:rsidP="005713AD">
      <w:r>
        <w:rPr>
          <w:noProof/>
        </w:rPr>
        <w:drawing>
          <wp:inline distT="0" distB="0" distL="0" distR="0" wp14:anchorId="0B9AD396" wp14:editId="4DB3DD22">
            <wp:extent cx="4668647" cy="2187575"/>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68647" cy="2187575"/>
                    </a:xfrm>
                    <a:prstGeom prst="rect">
                      <a:avLst/>
                    </a:prstGeom>
                  </pic:spPr>
                </pic:pic>
              </a:graphicData>
            </a:graphic>
          </wp:inline>
        </w:drawing>
      </w:r>
    </w:p>
    <w:p w:rsidR="005713AD" w:rsidRDefault="005713AD" w:rsidP="005713AD">
      <w:r>
        <w:rPr>
          <w:noProof/>
        </w:rPr>
        <w:drawing>
          <wp:inline distT="0" distB="0" distL="0" distR="0" wp14:anchorId="083751AC" wp14:editId="4D44F1AD">
            <wp:extent cx="4676775" cy="1747637"/>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88941" cy="1752183"/>
                    </a:xfrm>
                    <a:prstGeom prst="rect">
                      <a:avLst/>
                    </a:prstGeom>
                  </pic:spPr>
                </pic:pic>
              </a:graphicData>
            </a:graphic>
          </wp:inline>
        </w:drawing>
      </w:r>
    </w:p>
    <w:p w:rsidR="005713AD" w:rsidRDefault="005713AD" w:rsidP="005713AD"/>
    <w:p w:rsidR="005713AD" w:rsidRDefault="000D0762" w:rsidP="005713AD">
      <w:r>
        <w:rPr>
          <w:noProof/>
        </w:rPr>
        <w:lastRenderedPageBreak/>
        <mc:AlternateContent>
          <mc:Choice Requires="wps">
            <w:drawing>
              <wp:anchor distT="0" distB="0" distL="114300" distR="114300" simplePos="0" relativeHeight="251677696" behindDoc="0" locked="0" layoutInCell="1" allowOverlap="1" wp14:anchorId="4CFE8A2D" wp14:editId="5C07B278">
                <wp:simplePos x="0" y="0"/>
                <wp:positionH relativeFrom="column">
                  <wp:align>center</wp:align>
                </wp:positionH>
                <wp:positionV relativeFrom="paragraph">
                  <wp:posOffset>0</wp:posOffset>
                </wp:positionV>
                <wp:extent cx="2374265" cy="7353300"/>
                <wp:effectExtent l="0" t="0" r="27940"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74265" cy="7353300"/>
                        </a:xfrm>
                        <a:prstGeom prst="rect">
                          <a:avLst/>
                        </a:prstGeom>
                        <a:solidFill>
                          <a:srgbClr val="FFFFFF"/>
                        </a:solidFill>
                        <a:ln w="9525">
                          <a:solidFill>
                            <a:schemeClr val="bg1"/>
                          </a:solidFill>
                          <a:miter lim="800000"/>
                          <a:headEnd/>
                          <a:tailEnd/>
                        </a:ln>
                      </wps:spPr>
                      <wps:txbx>
                        <w:txbxContent>
                          <w:p w:rsidR="000D0762" w:rsidRPr="000D0762" w:rsidRDefault="000D0762" w:rsidP="000D0762">
                            <w:pPr>
                              <w:spacing w:after="0" w:line="240" w:lineRule="auto"/>
                              <w:rPr>
                                <w:sz w:val="16"/>
                                <w:szCs w:val="16"/>
                              </w:rPr>
                            </w:pPr>
                            <w:r w:rsidRPr="000D0762">
                              <w:rPr>
                                <w:sz w:val="16"/>
                                <w:szCs w:val="16"/>
                              </w:rPr>
                              <w:t>References:</w:t>
                            </w:r>
                          </w:p>
                          <w:p w:rsidR="000D0762" w:rsidRPr="000D0762" w:rsidRDefault="000D0762" w:rsidP="000D0762">
                            <w:pPr>
                              <w:spacing w:after="0" w:line="240" w:lineRule="auto"/>
                              <w:rPr>
                                <w:sz w:val="16"/>
                                <w:szCs w:val="16"/>
                              </w:rPr>
                            </w:pPr>
                            <w:r w:rsidRPr="000D0762">
                              <w:rPr>
                                <w:sz w:val="16"/>
                                <w:szCs w:val="16"/>
                                <w:vertAlign w:val="superscript"/>
                              </w:rPr>
                              <w:t>1</w:t>
                            </w:r>
                            <w:r w:rsidRPr="000D0762">
                              <w:rPr>
                                <w:sz w:val="16"/>
                                <w:szCs w:val="16"/>
                              </w:rPr>
                              <w:t xml:space="preserve">Derkin MJ, </w:t>
                            </w:r>
                            <w:proofErr w:type="spellStart"/>
                            <w:r w:rsidRPr="000D0762">
                              <w:rPr>
                                <w:sz w:val="16"/>
                                <w:szCs w:val="16"/>
                              </w:rPr>
                              <w:t>Hseuh</w:t>
                            </w:r>
                            <w:proofErr w:type="spellEnd"/>
                            <w:r w:rsidRPr="000D0762">
                              <w:rPr>
                                <w:sz w:val="16"/>
                                <w:szCs w:val="16"/>
                              </w:rPr>
                              <w:t xml:space="preserve"> K, </w:t>
                            </w:r>
                            <w:proofErr w:type="spellStart"/>
                            <w:r w:rsidRPr="000D0762">
                              <w:rPr>
                                <w:sz w:val="16"/>
                                <w:szCs w:val="16"/>
                              </w:rPr>
                              <w:t>Sallah</w:t>
                            </w:r>
                            <w:proofErr w:type="spellEnd"/>
                            <w:r w:rsidRPr="000D0762">
                              <w:rPr>
                                <w:sz w:val="16"/>
                                <w:szCs w:val="16"/>
                              </w:rPr>
                              <w:t xml:space="preserve"> YH et al.  </w:t>
                            </w:r>
                            <w:proofErr w:type="gramStart"/>
                            <w:r w:rsidRPr="000D0762">
                              <w:rPr>
                                <w:sz w:val="16"/>
                                <w:szCs w:val="16"/>
                              </w:rPr>
                              <w:t>An evaluation of dental antibiotic prescribing practices in the US.</w:t>
                            </w:r>
                            <w:proofErr w:type="gramEnd"/>
                            <w:r w:rsidRPr="000D0762">
                              <w:rPr>
                                <w:sz w:val="16"/>
                                <w:szCs w:val="16"/>
                              </w:rPr>
                              <w:t xml:space="preserve">  </w:t>
                            </w:r>
                            <w:proofErr w:type="gramStart"/>
                            <w:r w:rsidRPr="000D0762">
                              <w:rPr>
                                <w:sz w:val="16"/>
                                <w:szCs w:val="16"/>
                              </w:rPr>
                              <w:t>JADA.</w:t>
                            </w:r>
                            <w:proofErr w:type="gramEnd"/>
                            <w:r w:rsidRPr="000D0762">
                              <w:rPr>
                                <w:sz w:val="16"/>
                                <w:szCs w:val="16"/>
                              </w:rPr>
                              <w:t xml:space="preserve">  2017</w:t>
                            </w:r>
                            <w:proofErr w:type="gramStart"/>
                            <w:r w:rsidRPr="000D0762">
                              <w:rPr>
                                <w:sz w:val="16"/>
                                <w:szCs w:val="16"/>
                              </w:rPr>
                              <w:t>;148</w:t>
                            </w:r>
                            <w:proofErr w:type="gramEnd"/>
                            <w:r w:rsidRPr="000D0762">
                              <w:rPr>
                                <w:sz w:val="16"/>
                                <w:szCs w:val="16"/>
                              </w:rPr>
                              <w:t>(12):878-886 e1.</w:t>
                            </w:r>
                          </w:p>
                          <w:p w:rsidR="000D0762" w:rsidRPr="000D0762" w:rsidRDefault="000D0762" w:rsidP="000D0762">
                            <w:pPr>
                              <w:spacing w:after="0" w:line="240" w:lineRule="auto"/>
                              <w:rPr>
                                <w:sz w:val="16"/>
                                <w:szCs w:val="16"/>
                              </w:rPr>
                            </w:pPr>
                            <w:r w:rsidRPr="000D0762">
                              <w:rPr>
                                <w:sz w:val="16"/>
                                <w:szCs w:val="16"/>
                                <w:vertAlign w:val="superscript"/>
                              </w:rPr>
                              <w:t>2</w:t>
                            </w:r>
                            <w:r w:rsidRPr="000D0762">
                              <w:rPr>
                                <w:sz w:val="16"/>
                                <w:szCs w:val="16"/>
                              </w:rPr>
                              <w:t xml:space="preserve">Gross AE, Hannah D, Rowan SA, </w:t>
                            </w:r>
                            <w:proofErr w:type="spellStart"/>
                            <w:r w:rsidRPr="000D0762">
                              <w:rPr>
                                <w:sz w:val="16"/>
                                <w:szCs w:val="16"/>
                              </w:rPr>
                              <w:t>Bleasdale</w:t>
                            </w:r>
                            <w:proofErr w:type="spellEnd"/>
                            <w:r w:rsidRPr="000D0762">
                              <w:rPr>
                                <w:sz w:val="16"/>
                                <w:szCs w:val="16"/>
                              </w:rPr>
                              <w:t xml:space="preserve"> SC, </w:t>
                            </w:r>
                            <w:proofErr w:type="spellStart"/>
                            <w:r w:rsidRPr="000D0762">
                              <w:rPr>
                                <w:sz w:val="16"/>
                                <w:szCs w:val="16"/>
                              </w:rPr>
                              <w:t>Suda</w:t>
                            </w:r>
                            <w:proofErr w:type="spellEnd"/>
                            <w:r w:rsidRPr="000D0762">
                              <w:rPr>
                                <w:sz w:val="16"/>
                                <w:szCs w:val="16"/>
                              </w:rPr>
                              <w:t xml:space="preserve"> KJ.  </w:t>
                            </w:r>
                            <w:proofErr w:type="gramStart"/>
                            <w:r w:rsidRPr="000D0762">
                              <w:rPr>
                                <w:sz w:val="16"/>
                                <w:szCs w:val="16"/>
                              </w:rPr>
                              <w:t>Successful implementation of an antibiotic stewardship program in an academic dental practice.</w:t>
                            </w:r>
                            <w:proofErr w:type="gramEnd"/>
                            <w:r w:rsidRPr="000D0762">
                              <w:rPr>
                                <w:sz w:val="16"/>
                                <w:szCs w:val="16"/>
                              </w:rPr>
                              <w:t xml:space="preserve">  </w:t>
                            </w:r>
                            <w:proofErr w:type="gramStart"/>
                            <w:r w:rsidRPr="000D0762">
                              <w:rPr>
                                <w:sz w:val="16"/>
                                <w:szCs w:val="16"/>
                              </w:rPr>
                              <w:t>OFID.</w:t>
                            </w:r>
                            <w:proofErr w:type="gramEnd"/>
                            <w:r w:rsidRPr="000D0762">
                              <w:rPr>
                                <w:sz w:val="16"/>
                                <w:szCs w:val="16"/>
                              </w:rPr>
                              <w:t xml:space="preserve">  2019</w:t>
                            </w:r>
                            <w:proofErr w:type="gramStart"/>
                            <w:r w:rsidRPr="000D0762">
                              <w:rPr>
                                <w:sz w:val="16"/>
                                <w:szCs w:val="16"/>
                              </w:rPr>
                              <w:t>;6</w:t>
                            </w:r>
                            <w:proofErr w:type="gramEnd"/>
                            <w:r w:rsidRPr="000D0762">
                              <w:rPr>
                                <w:sz w:val="16"/>
                                <w:szCs w:val="16"/>
                              </w:rPr>
                              <w:t>(3):1-6.</w:t>
                            </w:r>
                          </w:p>
                          <w:p w:rsidR="000D0762" w:rsidRPr="000D0762" w:rsidRDefault="000D0762" w:rsidP="000D0762">
                            <w:pPr>
                              <w:spacing w:after="0" w:line="240" w:lineRule="auto"/>
                              <w:rPr>
                                <w:sz w:val="16"/>
                                <w:szCs w:val="16"/>
                              </w:rPr>
                            </w:pPr>
                            <w:r w:rsidRPr="000D0762">
                              <w:rPr>
                                <w:sz w:val="16"/>
                                <w:szCs w:val="16"/>
                                <w:vertAlign w:val="superscript"/>
                              </w:rPr>
                              <w:t>3</w:t>
                            </w:r>
                            <w:r w:rsidRPr="000D0762">
                              <w:rPr>
                                <w:sz w:val="16"/>
                                <w:szCs w:val="16"/>
                              </w:rPr>
                              <w:t xml:space="preserve">Suda KJ, </w:t>
                            </w:r>
                            <w:proofErr w:type="spellStart"/>
                            <w:r w:rsidRPr="000D0762">
                              <w:rPr>
                                <w:sz w:val="16"/>
                                <w:szCs w:val="16"/>
                              </w:rPr>
                              <w:t>Henschel</w:t>
                            </w:r>
                            <w:proofErr w:type="spellEnd"/>
                            <w:r w:rsidRPr="000D0762">
                              <w:rPr>
                                <w:sz w:val="16"/>
                                <w:szCs w:val="16"/>
                              </w:rPr>
                              <w:t xml:space="preserve"> H, Patel U et al.  </w:t>
                            </w:r>
                            <w:proofErr w:type="gramStart"/>
                            <w:r w:rsidRPr="000D0762">
                              <w:rPr>
                                <w:sz w:val="16"/>
                                <w:szCs w:val="16"/>
                              </w:rPr>
                              <w:t>Use of antibiotic prophylaxis for tooth extractions, dental implants, and periodontal surgical procedures, OFID.</w:t>
                            </w:r>
                            <w:proofErr w:type="gramEnd"/>
                            <w:r w:rsidRPr="000D0762">
                              <w:rPr>
                                <w:sz w:val="16"/>
                                <w:szCs w:val="16"/>
                              </w:rPr>
                              <w:t xml:space="preserve">  2018</w:t>
                            </w:r>
                            <w:proofErr w:type="gramStart"/>
                            <w:r w:rsidRPr="000D0762">
                              <w:rPr>
                                <w:sz w:val="16"/>
                                <w:szCs w:val="16"/>
                              </w:rPr>
                              <w:t>;5</w:t>
                            </w:r>
                            <w:proofErr w:type="gramEnd"/>
                            <w:r w:rsidRPr="000D0762">
                              <w:rPr>
                                <w:sz w:val="16"/>
                                <w:szCs w:val="16"/>
                              </w:rPr>
                              <w:t>(1):1-5.</w:t>
                            </w:r>
                          </w:p>
                          <w:p w:rsidR="000D0762" w:rsidRPr="000D0762" w:rsidRDefault="000D0762" w:rsidP="000D0762">
                            <w:pPr>
                              <w:spacing w:after="0" w:line="240" w:lineRule="auto"/>
                              <w:rPr>
                                <w:sz w:val="16"/>
                                <w:szCs w:val="16"/>
                              </w:rPr>
                            </w:pPr>
                            <w:proofErr w:type="gramStart"/>
                            <w:r w:rsidRPr="000D0762">
                              <w:rPr>
                                <w:sz w:val="16"/>
                                <w:szCs w:val="16"/>
                                <w:vertAlign w:val="superscript"/>
                              </w:rPr>
                              <w:t>4</w:t>
                            </w:r>
                            <w:r w:rsidRPr="000D0762">
                              <w:rPr>
                                <w:sz w:val="16"/>
                                <w:szCs w:val="16"/>
                              </w:rPr>
                              <w:t xml:space="preserve">Loffler C, </w:t>
                            </w:r>
                            <w:proofErr w:type="spellStart"/>
                            <w:r w:rsidRPr="000D0762">
                              <w:rPr>
                                <w:sz w:val="16"/>
                                <w:szCs w:val="16"/>
                              </w:rPr>
                              <w:t>Nohmer</w:t>
                            </w:r>
                            <w:proofErr w:type="spellEnd"/>
                            <w:r w:rsidRPr="000D0762">
                              <w:rPr>
                                <w:sz w:val="16"/>
                                <w:szCs w:val="16"/>
                              </w:rPr>
                              <w:t xml:space="preserve"> F.</w:t>
                            </w:r>
                            <w:proofErr w:type="gramEnd"/>
                            <w:r w:rsidRPr="000D0762">
                              <w:rPr>
                                <w:sz w:val="16"/>
                                <w:szCs w:val="16"/>
                              </w:rPr>
                              <w:t xml:space="preserve">  The effect of interventions aiming to optimize the prescription of antibiotics in dental care: a systemic review.  </w:t>
                            </w:r>
                            <w:proofErr w:type="spellStart"/>
                            <w:proofErr w:type="gramStart"/>
                            <w:r w:rsidRPr="000D0762">
                              <w:rPr>
                                <w:sz w:val="16"/>
                                <w:szCs w:val="16"/>
                              </w:rPr>
                              <w:t>PloS</w:t>
                            </w:r>
                            <w:proofErr w:type="spellEnd"/>
                            <w:r w:rsidRPr="000D0762">
                              <w:rPr>
                                <w:sz w:val="16"/>
                                <w:szCs w:val="16"/>
                              </w:rPr>
                              <w:t xml:space="preserve"> One.</w:t>
                            </w:r>
                            <w:proofErr w:type="gramEnd"/>
                            <w:r w:rsidRPr="000D0762">
                              <w:rPr>
                                <w:sz w:val="16"/>
                                <w:szCs w:val="16"/>
                              </w:rPr>
                              <w:t xml:space="preserve"> 2017</w:t>
                            </w:r>
                            <w:proofErr w:type="gramStart"/>
                            <w:r w:rsidRPr="000D0762">
                              <w:rPr>
                                <w:sz w:val="16"/>
                                <w:szCs w:val="16"/>
                              </w:rPr>
                              <w:t>;12</w:t>
                            </w:r>
                            <w:proofErr w:type="gramEnd"/>
                            <w:r w:rsidRPr="000D0762">
                              <w:rPr>
                                <w:sz w:val="16"/>
                                <w:szCs w:val="16"/>
                              </w:rPr>
                              <w:t>(11):1-23.</w:t>
                            </w:r>
                          </w:p>
                          <w:p w:rsidR="000D0762" w:rsidRPr="000D0762" w:rsidRDefault="000D0762" w:rsidP="000D0762">
                            <w:pPr>
                              <w:spacing w:after="0" w:line="240" w:lineRule="auto"/>
                              <w:rPr>
                                <w:sz w:val="16"/>
                                <w:szCs w:val="16"/>
                              </w:rPr>
                            </w:pPr>
                            <w:proofErr w:type="gramStart"/>
                            <w:r w:rsidRPr="000D0762">
                              <w:rPr>
                                <w:sz w:val="16"/>
                                <w:szCs w:val="16"/>
                                <w:vertAlign w:val="superscript"/>
                              </w:rPr>
                              <w:t>5</w:t>
                            </w:r>
                            <w:r w:rsidRPr="000D0762">
                              <w:rPr>
                                <w:sz w:val="16"/>
                                <w:szCs w:val="16"/>
                              </w:rPr>
                              <w:t>Siegel JD and Epson E.</w:t>
                            </w:r>
                            <w:proofErr w:type="gramEnd"/>
                            <w:r w:rsidRPr="000D0762">
                              <w:rPr>
                                <w:sz w:val="16"/>
                                <w:szCs w:val="16"/>
                              </w:rPr>
                              <w:t xml:space="preserve">  Antibiotic Prescribing and Stewardship in Dentistry:  A Public Health Perspective.  </w:t>
                            </w:r>
                            <w:proofErr w:type="gramStart"/>
                            <w:r w:rsidRPr="000D0762">
                              <w:rPr>
                                <w:sz w:val="16"/>
                                <w:szCs w:val="16"/>
                              </w:rPr>
                              <w:t>Journal of the California Dental Association.</w:t>
                            </w:r>
                            <w:proofErr w:type="gramEnd"/>
                            <w:r w:rsidRPr="000D0762">
                              <w:rPr>
                                <w:sz w:val="16"/>
                                <w:szCs w:val="16"/>
                              </w:rPr>
                              <w:t xml:space="preserve">  </w:t>
                            </w:r>
                            <w:proofErr w:type="gramStart"/>
                            <w:r w:rsidRPr="000D0762">
                              <w:rPr>
                                <w:sz w:val="16"/>
                                <w:szCs w:val="16"/>
                              </w:rPr>
                              <w:t>2018;</w:t>
                            </w:r>
                            <w:proofErr w:type="gramEnd"/>
                            <w:r w:rsidRPr="000D0762">
                              <w:rPr>
                                <w:sz w:val="16"/>
                                <w:szCs w:val="16"/>
                              </w:rPr>
                              <w:t>(46):755-765.</w:t>
                            </w:r>
                          </w:p>
                          <w:p w:rsidR="000D0762" w:rsidRPr="000D0762" w:rsidRDefault="000D0762" w:rsidP="000D0762">
                            <w:pPr>
                              <w:spacing w:after="0" w:line="240" w:lineRule="auto"/>
                              <w:rPr>
                                <w:color w:val="000000"/>
                                <w:sz w:val="16"/>
                                <w:szCs w:val="16"/>
                              </w:rPr>
                            </w:pPr>
                            <w:r w:rsidRPr="000D0762">
                              <w:rPr>
                                <w:sz w:val="16"/>
                                <w:szCs w:val="16"/>
                                <w:vertAlign w:val="superscript"/>
                              </w:rPr>
                              <w:t>6</w:t>
                            </w:r>
                            <w:r w:rsidRPr="000D0762">
                              <w:rPr>
                                <w:color w:val="000000"/>
                                <w:sz w:val="16"/>
                                <w:szCs w:val="16"/>
                              </w:rPr>
                              <w:t xml:space="preserve">Lockhart PB, </w:t>
                            </w:r>
                            <w:proofErr w:type="spellStart"/>
                            <w:r w:rsidRPr="000D0762">
                              <w:rPr>
                                <w:color w:val="000000"/>
                                <w:sz w:val="16"/>
                                <w:szCs w:val="16"/>
                              </w:rPr>
                              <w:t>Tampi</w:t>
                            </w:r>
                            <w:proofErr w:type="spellEnd"/>
                            <w:r w:rsidRPr="000D0762">
                              <w:rPr>
                                <w:color w:val="000000"/>
                                <w:sz w:val="16"/>
                                <w:szCs w:val="16"/>
                              </w:rPr>
                              <w:t xml:space="preserve"> MP, </w:t>
                            </w:r>
                            <w:proofErr w:type="spellStart"/>
                            <w:r w:rsidRPr="000D0762">
                              <w:rPr>
                                <w:color w:val="000000"/>
                                <w:sz w:val="16"/>
                                <w:szCs w:val="16"/>
                              </w:rPr>
                              <w:t>Abt</w:t>
                            </w:r>
                            <w:proofErr w:type="spellEnd"/>
                            <w:r w:rsidRPr="000D0762">
                              <w:rPr>
                                <w:color w:val="000000"/>
                                <w:sz w:val="16"/>
                                <w:szCs w:val="16"/>
                              </w:rPr>
                              <w:t xml:space="preserve"> E et al. Evidence-based clinical practice guideline on antibiotic use for the urgent management of pulpal- and periapical-related dental pain and intraoral swelling. </w:t>
                            </w:r>
                            <w:proofErr w:type="gramStart"/>
                            <w:r w:rsidRPr="000D0762">
                              <w:rPr>
                                <w:color w:val="000000"/>
                                <w:sz w:val="16"/>
                                <w:szCs w:val="16"/>
                              </w:rPr>
                              <w:t>JADA.</w:t>
                            </w:r>
                            <w:proofErr w:type="gramEnd"/>
                            <w:r w:rsidRPr="000D0762">
                              <w:rPr>
                                <w:color w:val="000000"/>
                                <w:sz w:val="16"/>
                                <w:szCs w:val="16"/>
                              </w:rPr>
                              <w:t xml:space="preserve"> 2019:150(11)</w:t>
                            </w:r>
                            <w:proofErr w:type="gramStart"/>
                            <w:r w:rsidRPr="000D0762">
                              <w:rPr>
                                <w:color w:val="000000"/>
                                <w:sz w:val="16"/>
                                <w:szCs w:val="16"/>
                              </w:rPr>
                              <w:t>;906</w:t>
                            </w:r>
                            <w:proofErr w:type="gramEnd"/>
                            <w:r w:rsidRPr="000D0762">
                              <w:rPr>
                                <w:color w:val="000000"/>
                                <w:sz w:val="16"/>
                                <w:szCs w:val="16"/>
                              </w:rPr>
                              <w:t>-921.e12.</w:t>
                            </w:r>
                          </w:p>
                          <w:p w:rsidR="000D0762" w:rsidRPr="000D0762" w:rsidRDefault="000D0762" w:rsidP="000D0762">
                            <w:pPr>
                              <w:pStyle w:val="NormalWeb"/>
                              <w:spacing w:before="0" w:beforeAutospacing="0" w:after="0" w:afterAutospacing="0"/>
                              <w:rPr>
                                <w:rFonts w:asciiTheme="minorHAnsi" w:hAnsiTheme="minorHAnsi"/>
                                <w:color w:val="000000"/>
                                <w:sz w:val="16"/>
                                <w:szCs w:val="16"/>
                              </w:rPr>
                            </w:pPr>
                            <w:r w:rsidRPr="000D0762">
                              <w:rPr>
                                <w:rFonts w:asciiTheme="minorHAnsi" w:hAnsiTheme="minorHAnsi"/>
                                <w:sz w:val="16"/>
                                <w:szCs w:val="16"/>
                                <w:vertAlign w:val="superscript"/>
                              </w:rPr>
                              <w:t>7</w:t>
                            </w:r>
                            <w:r w:rsidRPr="000D0762">
                              <w:rPr>
                                <w:rFonts w:asciiTheme="minorHAnsi" w:hAnsiTheme="minorHAnsi"/>
                                <w:color w:val="000000"/>
                                <w:sz w:val="16"/>
                                <w:szCs w:val="16"/>
                              </w:rPr>
                              <w:t xml:space="preserve">Moore PA, Ziegler KM, </w:t>
                            </w:r>
                            <w:proofErr w:type="spellStart"/>
                            <w:r w:rsidRPr="000D0762">
                              <w:rPr>
                                <w:rFonts w:asciiTheme="minorHAnsi" w:hAnsiTheme="minorHAnsi"/>
                                <w:color w:val="000000"/>
                                <w:sz w:val="16"/>
                                <w:szCs w:val="16"/>
                              </w:rPr>
                              <w:t>Lipman</w:t>
                            </w:r>
                            <w:proofErr w:type="spellEnd"/>
                            <w:r w:rsidRPr="000D0762">
                              <w:rPr>
                                <w:rFonts w:asciiTheme="minorHAnsi" w:hAnsiTheme="minorHAnsi"/>
                                <w:color w:val="000000"/>
                                <w:sz w:val="16"/>
                                <w:szCs w:val="16"/>
                              </w:rPr>
                              <w:t xml:space="preserve"> RD, </w:t>
                            </w:r>
                            <w:proofErr w:type="spellStart"/>
                            <w:r w:rsidRPr="000D0762">
                              <w:rPr>
                                <w:rFonts w:asciiTheme="minorHAnsi" w:hAnsiTheme="minorHAnsi"/>
                                <w:color w:val="000000"/>
                                <w:sz w:val="16"/>
                                <w:szCs w:val="16"/>
                              </w:rPr>
                              <w:t>Aminoshariae</w:t>
                            </w:r>
                            <w:proofErr w:type="spellEnd"/>
                            <w:r w:rsidRPr="000D0762">
                              <w:rPr>
                                <w:rFonts w:asciiTheme="minorHAnsi" w:hAnsiTheme="minorHAnsi"/>
                                <w:color w:val="000000"/>
                                <w:sz w:val="16"/>
                                <w:szCs w:val="16"/>
                              </w:rPr>
                              <w:t xml:space="preserve"> A, Carrasco-Labra A, </w:t>
                            </w:r>
                            <w:proofErr w:type="spellStart"/>
                            <w:r w:rsidRPr="000D0762">
                              <w:rPr>
                                <w:rFonts w:asciiTheme="minorHAnsi" w:hAnsiTheme="minorHAnsi"/>
                                <w:color w:val="000000"/>
                                <w:sz w:val="16"/>
                                <w:szCs w:val="16"/>
                              </w:rPr>
                              <w:t>Mariotti</w:t>
                            </w:r>
                            <w:proofErr w:type="spellEnd"/>
                            <w:r w:rsidRPr="000D0762">
                              <w:rPr>
                                <w:rFonts w:asciiTheme="minorHAnsi" w:hAnsiTheme="minorHAnsi"/>
                                <w:color w:val="000000"/>
                                <w:sz w:val="16"/>
                                <w:szCs w:val="16"/>
                              </w:rPr>
                              <w:t xml:space="preserve"> A. Benefits and harms associated with analgesic medications used in the management of acute dental pain: an overview of systemic reviews. </w:t>
                            </w:r>
                            <w:proofErr w:type="gramStart"/>
                            <w:r w:rsidRPr="000D0762">
                              <w:rPr>
                                <w:rFonts w:asciiTheme="minorHAnsi" w:hAnsiTheme="minorHAnsi"/>
                                <w:color w:val="000000"/>
                                <w:sz w:val="16"/>
                                <w:szCs w:val="16"/>
                              </w:rPr>
                              <w:t>JADA.</w:t>
                            </w:r>
                            <w:proofErr w:type="gramEnd"/>
                            <w:r w:rsidRPr="000D0762">
                              <w:rPr>
                                <w:rFonts w:asciiTheme="minorHAnsi" w:hAnsiTheme="minorHAnsi"/>
                                <w:color w:val="000000"/>
                                <w:sz w:val="16"/>
                                <w:szCs w:val="16"/>
                              </w:rPr>
                              <w:t xml:space="preserve"> 2018</w:t>
                            </w:r>
                            <w:proofErr w:type="gramStart"/>
                            <w:r w:rsidRPr="000D0762">
                              <w:rPr>
                                <w:rFonts w:asciiTheme="minorHAnsi" w:hAnsiTheme="minorHAnsi"/>
                                <w:color w:val="000000"/>
                                <w:sz w:val="16"/>
                                <w:szCs w:val="16"/>
                              </w:rPr>
                              <w:t>;149</w:t>
                            </w:r>
                            <w:proofErr w:type="gramEnd"/>
                            <w:r w:rsidRPr="000D0762">
                              <w:rPr>
                                <w:rFonts w:asciiTheme="minorHAnsi" w:hAnsiTheme="minorHAnsi"/>
                                <w:color w:val="000000"/>
                                <w:sz w:val="16"/>
                                <w:szCs w:val="16"/>
                              </w:rPr>
                              <w:t>(4):256-265 e3.</w:t>
                            </w:r>
                          </w:p>
                          <w:p w:rsidR="000D0762" w:rsidRPr="000D0762" w:rsidRDefault="000D0762" w:rsidP="000D0762">
                            <w:pPr>
                              <w:pStyle w:val="NormalWeb"/>
                              <w:spacing w:before="0" w:beforeAutospacing="0" w:after="0" w:afterAutospacing="0"/>
                              <w:rPr>
                                <w:rFonts w:asciiTheme="minorHAnsi" w:hAnsiTheme="minorHAnsi"/>
                                <w:color w:val="000000"/>
                                <w:sz w:val="16"/>
                                <w:szCs w:val="16"/>
                              </w:rPr>
                            </w:pPr>
                            <w:proofErr w:type="gramStart"/>
                            <w:r w:rsidRPr="000D0762">
                              <w:rPr>
                                <w:rFonts w:asciiTheme="minorHAnsi" w:hAnsiTheme="minorHAnsi"/>
                                <w:color w:val="000000"/>
                                <w:sz w:val="16"/>
                                <w:szCs w:val="16"/>
                                <w:vertAlign w:val="superscript"/>
                              </w:rPr>
                              <w:t>8</w:t>
                            </w:r>
                            <w:r w:rsidRPr="000D0762">
                              <w:rPr>
                                <w:rFonts w:asciiTheme="minorHAnsi" w:hAnsiTheme="minorHAnsi"/>
                                <w:color w:val="000000"/>
                                <w:sz w:val="16"/>
                                <w:szCs w:val="16"/>
                              </w:rPr>
                              <w:t xml:space="preserve">Blumenthal KG, Peter JG, </w:t>
                            </w:r>
                            <w:proofErr w:type="spellStart"/>
                            <w:r w:rsidRPr="000D0762">
                              <w:rPr>
                                <w:rFonts w:asciiTheme="minorHAnsi" w:hAnsiTheme="minorHAnsi"/>
                                <w:color w:val="000000"/>
                                <w:sz w:val="16"/>
                                <w:szCs w:val="16"/>
                              </w:rPr>
                              <w:t>Trubiano</w:t>
                            </w:r>
                            <w:proofErr w:type="spellEnd"/>
                            <w:r w:rsidRPr="000D0762">
                              <w:rPr>
                                <w:rFonts w:asciiTheme="minorHAnsi" w:hAnsiTheme="minorHAnsi"/>
                                <w:color w:val="000000"/>
                                <w:sz w:val="16"/>
                                <w:szCs w:val="16"/>
                              </w:rPr>
                              <w:t xml:space="preserve"> JA et al. Antibiotic Allergy.</w:t>
                            </w:r>
                            <w:proofErr w:type="gramEnd"/>
                            <w:r w:rsidRPr="000D0762">
                              <w:rPr>
                                <w:rFonts w:asciiTheme="minorHAnsi" w:hAnsiTheme="minorHAnsi"/>
                                <w:color w:val="000000"/>
                                <w:sz w:val="16"/>
                                <w:szCs w:val="16"/>
                              </w:rPr>
                              <w:t xml:space="preserve"> </w:t>
                            </w:r>
                            <w:proofErr w:type="gramStart"/>
                            <w:r w:rsidRPr="000D0762">
                              <w:rPr>
                                <w:rFonts w:asciiTheme="minorHAnsi" w:hAnsiTheme="minorHAnsi"/>
                                <w:color w:val="000000"/>
                                <w:sz w:val="16"/>
                                <w:szCs w:val="16"/>
                              </w:rPr>
                              <w:t>Lancet.</w:t>
                            </w:r>
                            <w:proofErr w:type="gramEnd"/>
                            <w:r w:rsidRPr="000D0762">
                              <w:rPr>
                                <w:rFonts w:asciiTheme="minorHAnsi" w:hAnsiTheme="minorHAnsi"/>
                                <w:color w:val="000000"/>
                                <w:sz w:val="16"/>
                                <w:szCs w:val="16"/>
                              </w:rPr>
                              <w:t xml:space="preserve"> 2019</w:t>
                            </w:r>
                            <w:proofErr w:type="gramStart"/>
                            <w:r w:rsidRPr="000D0762">
                              <w:rPr>
                                <w:rFonts w:asciiTheme="minorHAnsi" w:hAnsiTheme="minorHAnsi"/>
                                <w:color w:val="000000"/>
                                <w:sz w:val="16"/>
                                <w:szCs w:val="16"/>
                              </w:rPr>
                              <w:t>;393</w:t>
                            </w:r>
                            <w:proofErr w:type="gramEnd"/>
                            <w:r w:rsidRPr="000D0762">
                              <w:rPr>
                                <w:rFonts w:asciiTheme="minorHAnsi" w:hAnsiTheme="minorHAnsi"/>
                                <w:color w:val="000000"/>
                                <w:sz w:val="16"/>
                                <w:szCs w:val="16"/>
                              </w:rPr>
                              <w:t>(10167):187-198.</w:t>
                            </w:r>
                          </w:p>
                          <w:p w:rsidR="000D0762" w:rsidRPr="000D0762" w:rsidRDefault="000D0762" w:rsidP="000D0762">
                            <w:pPr>
                              <w:pStyle w:val="NormalWeb"/>
                              <w:spacing w:before="0" w:beforeAutospacing="0" w:after="0" w:afterAutospacing="0"/>
                              <w:rPr>
                                <w:rFonts w:asciiTheme="minorHAnsi" w:hAnsiTheme="minorHAnsi"/>
                                <w:color w:val="000000"/>
                                <w:sz w:val="16"/>
                                <w:szCs w:val="16"/>
                              </w:rPr>
                            </w:pPr>
                            <w:r w:rsidRPr="000D0762">
                              <w:rPr>
                                <w:rFonts w:asciiTheme="minorHAnsi" w:hAnsiTheme="minorHAnsi"/>
                                <w:color w:val="000000"/>
                                <w:sz w:val="16"/>
                                <w:szCs w:val="16"/>
                                <w:vertAlign w:val="superscript"/>
                              </w:rPr>
                              <w:t>9</w:t>
                            </w:r>
                            <w:r w:rsidRPr="000D0762">
                              <w:rPr>
                                <w:rFonts w:asciiTheme="minorHAnsi" w:hAnsiTheme="minorHAnsi"/>
                                <w:color w:val="000000"/>
                                <w:sz w:val="16"/>
                                <w:szCs w:val="16"/>
                              </w:rPr>
                              <w:t>Gross AE et al. “SHEA Featured Oral Abstract: Serious Antibiotic-Related Adverse Effects Following Unnecessary Dental Prophylaxis in the United States” ID Week 2019; Abstract 1895.</w:t>
                            </w:r>
                          </w:p>
                          <w:p w:rsidR="000D0762" w:rsidRPr="000D0762" w:rsidRDefault="000D0762" w:rsidP="000D0762">
                            <w:pPr>
                              <w:pStyle w:val="NormalWeb"/>
                              <w:spacing w:before="0" w:beforeAutospacing="0" w:after="0" w:afterAutospacing="0"/>
                              <w:rPr>
                                <w:rFonts w:asciiTheme="minorHAnsi" w:hAnsiTheme="minorHAnsi"/>
                                <w:color w:val="000000"/>
                                <w:sz w:val="16"/>
                                <w:szCs w:val="16"/>
                              </w:rPr>
                            </w:pPr>
                            <w:r w:rsidRPr="000D0762">
                              <w:rPr>
                                <w:rFonts w:asciiTheme="minorHAnsi" w:hAnsiTheme="minorHAnsi"/>
                                <w:color w:val="000000"/>
                                <w:sz w:val="16"/>
                                <w:szCs w:val="16"/>
                                <w:vertAlign w:val="superscript"/>
                              </w:rPr>
                              <w:t>10</w:t>
                            </w:r>
                            <w:r w:rsidRPr="000D0762">
                              <w:rPr>
                                <w:rFonts w:asciiTheme="minorHAnsi" w:hAnsiTheme="minorHAnsi"/>
                                <w:color w:val="000000"/>
                                <w:sz w:val="16"/>
                                <w:szCs w:val="16"/>
                              </w:rPr>
                              <w:t xml:space="preserve">Hupp J, Elis E and Tucker M.  </w:t>
                            </w:r>
                            <w:proofErr w:type="gramStart"/>
                            <w:r w:rsidRPr="000D0762">
                              <w:rPr>
                                <w:rFonts w:asciiTheme="minorHAnsi" w:hAnsiTheme="minorHAnsi"/>
                                <w:color w:val="000000"/>
                                <w:sz w:val="16"/>
                                <w:szCs w:val="16"/>
                              </w:rPr>
                              <w:t>Contemporary oral and maxillofacial survey, 2019.</w:t>
                            </w:r>
                            <w:proofErr w:type="gramEnd"/>
                            <w:r w:rsidRPr="000D0762">
                              <w:rPr>
                                <w:rFonts w:asciiTheme="minorHAnsi" w:hAnsiTheme="minorHAnsi"/>
                                <w:color w:val="000000"/>
                                <w:sz w:val="16"/>
                                <w:szCs w:val="16"/>
                              </w:rPr>
                              <w:t xml:space="preserve">  7</w:t>
                            </w:r>
                            <w:r w:rsidRPr="000D0762">
                              <w:rPr>
                                <w:rFonts w:asciiTheme="minorHAnsi" w:hAnsiTheme="minorHAnsi"/>
                                <w:color w:val="000000"/>
                                <w:sz w:val="16"/>
                                <w:szCs w:val="16"/>
                                <w:vertAlign w:val="superscript"/>
                              </w:rPr>
                              <w:t>th</w:t>
                            </w:r>
                            <w:r w:rsidRPr="000D0762">
                              <w:rPr>
                                <w:rFonts w:asciiTheme="minorHAnsi" w:hAnsiTheme="minorHAnsi"/>
                                <w:color w:val="000000"/>
                                <w:sz w:val="16"/>
                                <w:szCs w:val="16"/>
                              </w:rPr>
                              <w:t xml:space="preserve"> ed. Philadelphia: Elsevier, p. 163.</w:t>
                            </w:r>
                          </w:p>
                          <w:p w:rsidR="000D0762" w:rsidRPr="000D0762" w:rsidRDefault="000D0762" w:rsidP="000D0762">
                            <w:pPr>
                              <w:pStyle w:val="NormalWeb"/>
                              <w:spacing w:before="0" w:beforeAutospacing="0" w:after="0" w:afterAutospacing="0"/>
                              <w:rPr>
                                <w:rFonts w:asciiTheme="minorHAnsi" w:hAnsiTheme="minorHAnsi"/>
                                <w:color w:val="000000"/>
                                <w:sz w:val="16"/>
                                <w:szCs w:val="16"/>
                              </w:rPr>
                            </w:pPr>
                            <w:r w:rsidRPr="000D0762">
                              <w:rPr>
                                <w:rFonts w:asciiTheme="minorHAnsi" w:hAnsiTheme="minorHAnsi"/>
                                <w:color w:val="000000"/>
                                <w:sz w:val="16"/>
                                <w:szCs w:val="16"/>
                              </w:rPr>
                              <w:t xml:space="preserve">Stein K, Farmer J, </w:t>
                            </w:r>
                            <w:proofErr w:type="spellStart"/>
                            <w:r w:rsidRPr="000D0762">
                              <w:rPr>
                                <w:rFonts w:asciiTheme="minorHAnsi" w:hAnsiTheme="minorHAnsi"/>
                                <w:color w:val="000000"/>
                                <w:sz w:val="16"/>
                                <w:szCs w:val="16"/>
                              </w:rPr>
                              <w:t>Singhal</w:t>
                            </w:r>
                            <w:proofErr w:type="spellEnd"/>
                            <w:r w:rsidRPr="000D0762">
                              <w:rPr>
                                <w:rFonts w:asciiTheme="minorHAnsi" w:hAnsiTheme="minorHAnsi"/>
                                <w:color w:val="000000"/>
                                <w:sz w:val="16"/>
                                <w:szCs w:val="16"/>
                              </w:rPr>
                              <w:t xml:space="preserve"> S, </w:t>
                            </w:r>
                            <w:proofErr w:type="spellStart"/>
                            <w:r w:rsidRPr="000D0762">
                              <w:rPr>
                                <w:rFonts w:asciiTheme="minorHAnsi" w:hAnsiTheme="minorHAnsi"/>
                                <w:color w:val="000000"/>
                                <w:sz w:val="16"/>
                                <w:szCs w:val="16"/>
                              </w:rPr>
                              <w:t>Marra</w:t>
                            </w:r>
                            <w:proofErr w:type="spellEnd"/>
                            <w:r w:rsidRPr="000D0762">
                              <w:rPr>
                                <w:rFonts w:asciiTheme="minorHAnsi" w:hAnsiTheme="minorHAnsi"/>
                                <w:color w:val="000000"/>
                                <w:sz w:val="16"/>
                                <w:szCs w:val="16"/>
                              </w:rPr>
                              <w:t xml:space="preserve"> F, Sutherland S, </w:t>
                            </w:r>
                            <w:proofErr w:type="spellStart"/>
                            <w:r w:rsidRPr="000D0762">
                              <w:rPr>
                                <w:rFonts w:asciiTheme="minorHAnsi" w:hAnsiTheme="minorHAnsi"/>
                                <w:color w:val="000000"/>
                                <w:sz w:val="16"/>
                                <w:szCs w:val="16"/>
                              </w:rPr>
                              <w:t>Quinonez</w:t>
                            </w:r>
                            <w:proofErr w:type="spellEnd"/>
                            <w:r w:rsidRPr="000D0762">
                              <w:rPr>
                                <w:rFonts w:asciiTheme="minorHAnsi" w:hAnsiTheme="minorHAnsi"/>
                                <w:color w:val="000000"/>
                                <w:sz w:val="16"/>
                                <w:szCs w:val="16"/>
                              </w:rPr>
                              <w:t xml:space="preserve"> C. The use and misuse of antibiotics in dentistry: a scoping review. </w:t>
                            </w:r>
                            <w:proofErr w:type="gramStart"/>
                            <w:r w:rsidRPr="000D0762">
                              <w:rPr>
                                <w:rFonts w:asciiTheme="minorHAnsi" w:hAnsiTheme="minorHAnsi"/>
                                <w:color w:val="000000"/>
                                <w:sz w:val="16"/>
                                <w:szCs w:val="16"/>
                              </w:rPr>
                              <w:t>JADA.</w:t>
                            </w:r>
                            <w:proofErr w:type="gramEnd"/>
                            <w:r w:rsidRPr="000D0762">
                              <w:rPr>
                                <w:rFonts w:asciiTheme="minorHAnsi" w:hAnsiTheme="minorHAnsi"/>
                                <w:color w:val="000000"/>
                                <w:sz w:val="16"/>
                                <w:szCs w:val="16"/>
                              </w:rPr>
                              <w:t xml:space="preserve"> 2018</w:t>
                            </w:r>
                            <w:proofErr w:type="gramStart"/>
                            <w:r w:rsidRPr="000D0762">
                              <w:rPr>
                                <w:rFonts w:asciiTheme="minorHAnsi" w:hAnsiTheme="minorHAnsi"/>
                                <w:color w:val="000000"/>
                                <w:sz w:val="16"/>
                                <w:szCs w:val="16"/>
                              </w:rPr>
                              <w:t>;149</w:t>
                            </w:r>
                            <w:proofErr w:type="gramEnd"/>
                            <w:r w:rsidRPr="000D0762">
                              <w:rPr>
                                <w:rFonts w:asciiTheme="minorHAnsi" w:hAnsiTheme="minorHAnsi"/>
                                <w:color w:val="000000"/>
                                <w:sz w:val="16"/>
                                <w:szCs w:val="16"/>
                              </w:rPr>
                              <w:t>(10):869-884 e5.</w:t>
                            </w:r>
                          </w:p>
                          <w:p w:rsidR="000D0762" w:rsidRPr="000D0762" w:rsidRDefault="000D0762" w:rsidP="000D0762">
                            <w:pPr>
                              <w:spacing w:after="0" w:line="240" w:lineRule="auto"/>
                              <w:rPr>
                                <w:sz w:val="16"/>
                                <w:szCs w:val="16"/>
                              </w:rPr>
                            </w:pPr>
                            <w:r w:rsidRPr="000D0762">
                              <w:rPr>
                                <w:sz w:val="16"/>
                                <w:szCs w:val="16"/>
                                <w:vertAlign w:val="superscript"/>
                              </w:rPr>
                              <w:t>11</w:t>
                            </w:r>
                            <w:r w:rsidRPr="000D0762">
                              <w:rPr>
                                <w:sz w:val="16"/>
                                <w:szCs w:val="16"/>
                              </w:rPr>
                              <w:t xml:space="preserve">Blakey GH, White RP, </w:t>
                            </w:r>
                            <w:proofErr w:type="spellStart"/>
                            <w:r w:rsidRPr="000D0762">
                              <w:rPr>
                                <w:sz w:val="16"/>
                                <w:szCs w:val="16"/>
                              </w:rPr>
                              <w:t>Offenbacher</w:t>
                            </w:r>
                            <w:proofErr w:type="spellEnd"/>
                            <w:r w:rsidRPr="000D0762">
                              <w:rPr>
                                <w:sz w:val="16"/>
                                <w:szCs w:val="16"/>
                              </w:rPr>
                              <w:t xml:space="preserve"> S et al.  </w:t>
                            </w:r>
                            <w:proofErr w:type="gramStart"/>
                            <w:r w:rsidRPr="000D0762">
                              <w:rPr>
                                <w:sz w:val="16"/>
                                <w:szCs w:val="16"/>
                              </w:rPr>
                              <w:t>Clinical/biological outcomes of treatment for pericoronitis.</w:t>
                            </w:r>
                            <w:proofErr w:type="gramEnd"/>
                            <w:r w:rsidRPr="000D0762">
                              <w:rPr>
                                <w:sz w:val="16"/>
                                <w:szCs w:val="16"/>
                              </w:rPr>
                              <w:t xml:space="preserve">  Journal of Oral and Maxillofacial Survey 1996, 54(10), 1150-1160.</w:t>
                            </w:r>
                          </w:p>
                          <w:p w:rsidR="000D0762" w:rsidRPr="000D0762" w:rsidRDefault="000D0762" w:rsidP="000D0762">
                            <w:pPr>
                              <w:spacing w:after="0" w:line="240" w:lineRule="auto"/>
                              <w:rPr>
                                <w:sz w:val="16"/>
                                <w:szCs w:val="16"/>
                              </w:rPr>
                            </w:pPr>
                            <w:proofErr w:type="gramStart"/>
                            <w:r w:rsidRPr="000D0762">
                              <w:rPr>
                                <w:sz w:val="16"/>
                                <w:szCs w:val="16"/>
                                <w:vertAlign w:val="superscript"/>
                              </w:rPr>
                              <w:t>12</w:t>
                            </w:r>
                            <w:r w:rsidRPr="000D0762">
                              <w:rPr>
                                <w:sz w:val="16"/>
                                <w:szCs w:val="16"/>
                              </w:rPr>
                              <w:t xml:space="preserve">Wilson W, </w:t>
                            </w:r>
                            <w:proofErr w:type="spellStart"/>
                            <w:r w:rsidRPr="000D0762">
                              <w:rPr>
                                <w:sz w:val="16"/>
                                <w:szCs w:val="16"/>
                              </w:rPr>
                              <w:t>Taubert</w:t>
                            </w:r>
                            <w:proofErr w:type="spellEnd"/>
                            <w:r w:rsidRPr="000D0762">
                              <w:rPr>
                                <w:sz w:val="16"/>
                                <w:szCs w:val="16"/>
                              </w:rPr>
                              <w:t xml:space="preserve"> KA, </w:t>
                            </w:r>
                            <w:proofErr w:type="spellStart"/>
                            <w:r w:rsidRPr="000D0762">
                              <w:rPr>
                                <w:sz w:val="16"/>
                                <w:szCs w:val="16"/>
                              </w:rPr>
                              <w:t>Gewitz</w:t>
                            </w:r>
                            <w:proofErr w:type="spellEnd"/>
                            <w:r w:rsidRPr="000D0762">
                              <w:rPr>
                                <w:sz w:val="16"/>
                                <w:szCs w:val="16"/>
                              </w:rPr>
                              <w:t xml:space="preserve"> M et al.</w:t>
                            </w:r>
                            <w:proofErr w:type="gramEnd"/>
                            <w:r w:rsidRPr="000D0762">
                              <w:rPr>
                                <w:sz w:val="16"/>
                                <w:szCs w:val="16"/>
                              </w:rPr>
                              <w:t xml:space="preserve">  Prevention of infective endocarditis:  Guidelines from the American Health Association.  JADA 2008 Jan</w:t>
                            </w:r>
                            <w:proofErr w:type="gramStart"/>
                            <w:r w:rsidRPr="000D0762">
                              <w:rPr>
                                <w:sz w:val="16"/>
                                <w:szCs w:val="16"/>
                              </w:rPr>
                              <w:t>;139</w:t>
                            </w:r>
                            <w:proofErr w:type="gramEnd"/>
                            <w:r w:rsidRPr="000D0762">
                              <w:rPr>
                                <w:sz w:val="16"/>
                                <w:szCs w:val="16"/>
                              </w:rPr>
                              <w:t xml:space="preserve"> Suppl:3S-24S.</w:t>
                            </w:r>
                          </w:p>
                          <w:p w:rsidR="000D0762" w:rsidRPr="000D0762" w:rsidRDefault="000D0762" w:rsidP="000D0762">
                            <w:pPr>
                              <w:spacing w:after="0" w:line="240" w:lineRule="auto"/>
                              <w:rPr>
                                <w:rFonts w:cs="Arial"/>
                                <w:color w:val="000000"/>
                                <w:sz w:val="16"/>
                                <w:szCs w:val="16"/>
                                <w:shd w:val="clear" w:color="auto" w:fill="FFFFFF"/>
                              </w:rPr>
                            </w:pPr>
                            <w:proofErr w:type="gramStart"/>
                            <w:r w:rsidRPr="000D0762">
                              <w:rPr>
                                <w:sz w:val="16"/>
                                <w:szCs w:val="16"/>
                                <w:vertAlign w:val="superscript"/>
                              </w:rPr>
                              <w:t>13</w:t>
                            </w:r>
                            <w:r w:rsidRPr="000D0762">
                              <w:rPr>
                                <w:sz w:val="16"/>
                                <w:szCs w:val="16"/>
                              </w:rPr>
                              <w:t xml:space="preserve">Goff DA, </w:t>
                            </w:r>
                            <w:proofErr w:type="spellStart"/>
                            <w:r w:rsidRPr="000D0762">
                              <w:rPr>
                                <w:sz w:val="16"/>
                                <w:szCs w:val="16"/>
                              </w:rPr>
                              <w:t>Mangino</w:t>
                            </w:r>
                            <w:proofErr w:type="spellEnd"/>
                            <w:r w:rsidRPr="000D0762">
                              <w:rPr>
                                <w:sz w:val="16"/>
                                <w:szCs w:val="16"/>
                              </w:rPr>
                              <w:t xml:space="preserve"> JE, Glassman AH et al.</w:t>
                            </w:r>
                            <w:proofErr w:type="gramEnd"/>
                            <w:r w:rsidRPr="000D0762">
                              <w:rPr>
                                <w:sz w:val="16"/>
                                <w:szCs w:val="16"/>
                              </w:rPr>
                              <w:t xml:space="preserve">   Review of guidelines for dental antibiotic prophylaxis for prevention of endocarditis and prosthetic joint infections and need for dental stewardship.  CID 2019</w:t>
                            </w:r>
                            <w:proofErr w:type="gramStart"/>
                            <w:r w:rsidRPr="000D0762">
                              <w:rPr>
                                <w:sz w:val="16"/>
                                <w:szCs w:val="16"/>
                              </w:rPr>
                              <w:t xml:space="preserve">; </w:t>
                            </w:r>
                            <w:r w:rsidRPr="000D0762">
                              <w:rPr>
                                <w:rFonts w:cs="Arial"/>
                                <w:color w:val="000000"/>
                                <w:sz w:val="16"/>
                                <w:szCs w:val="16"/>
                                <w:shd w:val="clear" w:color="auto" w:fill="FFFFFF"/>
                              </w:rPr>
                              <w:t> </w:t>
                            </w:r>
                            <w:proofErr w:type="spellStart"/>
                            <w:r w:rsidRPr="000D0762">
                              <w:rPr>
                                <w:rFonts w:cs="Arial"/>
                                <w:color w:val="000000"/>
                                <w:sz w:val="16"/>
                                <w:szCs w:val="16"/>
                                <w:shd w:val="clear" w:color="auto" w:fill="FFFFFF"/>
                              </w:rPr>
                              <w:t>doi</w:t>
                            </w:r>
                            <w:proofErr w:type="spellEnd"/>
                            <w:proofErr w:type="gramEnd"/>
                            <w:r w:rsidRPr="000D0762">
                              <w:rPr>
                                <w:rFonts w:cs="Arial"/>
                                <w:color w:val="000000"/>
                                <w:sz w:val="16"/>
                                <w:szCs w:val="16"/>
                                <w:shd w:val="clear" w:color="auto" w:fill="FFFFFF"/>
                              </w:rPr>
                              <w:t>: 10.1093/</w:t>
                            </w:r>
                            <w:proofErr w:type="spellStart"/>
                            <w:r w:rsidRPr="000D0762">
                              <w:rPr>
                                <w:rFonts w:cs="Arial"/>
                                <w:color w:val="000000"/>
                                <w:sz w:val="16"/>
                                <w:szCs w:val="16"/>
                                <w:shd w:val="clear" w:color="auto" w:fill="FFFFFF"/>
                              </w:rPr>
                              <w:t>cid</w:t>
                            </w:r>
                            <w:proofErr w:type="spellEnd"/>
                            <w:r w:rsidRPr="000D0762">
                              <w:rPr>
                                <w:rFonts w:cs="Arial"/>
                                <w:color w:val="000000"/>
                                <w:sz w:val="16"/>
                                <w:szCs w:val="16"/>
                                <w:shd w:val="clear" w:color="auto" w:fill="FFFFFF"/>
                              </w:rPr>
                              <w:t>/ciz1118. [</w:t>
                            </w:r>
                            <w:proofErr w:type="spellStart"/>
                            <w:r w:rsidRPr="000D0762">
                              <w:rPr>
                                <w:rFonts w:cs="Arial"/>
                                <w:color w:val="000000"/>
                                <w:sz w:val="16"/>
                                <w:szCs w:val="16"/>
                                <w:shd w:val="clear" w:color="auto" w:fill="FFFFFF"/>
                              </w:rPr>
                              <w:t>Epub</w:t>
                            </w:r>
                            <w:proofErr w:type="spellEnd"/>
                            <w:r w:rsidRPr="000D0762">
                              <w:rPr>
                                <w:rFonts w:cs="Arial"/>
                                <w:color w:val="000000"/>
                                <w:sz w:val="16"/>
                                <w:szCs w:val="16"/>
                                <w:shd w:val="clear" w:color="auto" w:fill="FFFFFF"/>
                              </w:rPr>
                              <w:t xml:space="preserve"> ahead of print]</w:t>
                            </w:r>
                          </w:p>
                          <w:p w:rsidR="000D0762" w:rsidRPr="000D0762" w:rsidRDefault="000D0762" w:rsidP="000D0762">
                            <w:pPr>
                              <w:spacing w:after="0" w:line="240" w:lineRule="auto"/>
                              <w:rPr>
                                <w:rFonts w:cs="Arial"/>
                                <w:color w:val="000000"/>
                                <w:sz w:val="16"/>
                                <w:szCs w:val="16"/>
                                <w:shd w:val="clear" w:color="auto" w:fill="FFFFFF"/>
                              </w:rPr>
                            </w:pPr>
                            <w:r w:rsidRPr="000D0762">
                              <w:rPr>
                                <w:rFonts w:cs="Arial"/>
                                <w:color w:val="000000"/>
                                <w:sz w:val="16"/>
                                <w:szCs w:val="16"/>
                                <w:shd w:val="clear" w:color="auto" w:fill="FFFFFF"/>
                                <w:vertAlign w:val="superscript"/>
                              </w:rPr>
                              <w:t>14</w:t>
                            </w:r>
                            <w:r w:rsidRPr="000D0762">
                              <w:rPr>
                                <w:rFonts w:cs="Arial"/>
                                <w:color w:val="000000"/>
                                <w:sz w:val="16"/>
                                <w:szCs w:val="16"/>
                                <w:shd w:val="clear" w:color="auto" w:fill="FFFFFF"/>
                              </w:rPr>
                              <w:t xml:space="preserve">Chen TT, </w:t>
                            </w:r>
                            <w:proofErr w:type="spellStart"/>
                            <w:r w:rsidRPr="000D0762">
                              <w:rPr>
                                <w:rFonts w:cs="Arial"/>
                                <w:color w:val="000000"/>
                                <w:sz w:val="16"/>
                                <w:szCs w:val="16"/>
                                <w:shd w:val="clear" w:color="auto" w:fill="FFFFFF"/>
                              </w:rPr>
                              <w:t>Yeh</w:t>
                            </w:r>
                            <w:proofErr w:type="spellEnd"/>
                            <w:r w:rsidRPr="000D0762">
                              <w:rPr>
                                <w:rFonts w:cs="Arial"/>
                                <w:color w:val="000000"/>
                                <w:sz w:val="16"/>
                                <w:szCs w:val="16"/>
                                <w:shd w:val="clear" w:color="auto" w:fill="FFFFFF"/>
                              </w:rPr>
                              <w:t xml:space="preserve"> YC, </w:t>
                            </w:r>
                            <w:proofErr w:type="spellStart"/>
                            <w:r w:rsidRPr="000D0762">
                              <w:rPr>
                                <w:rFonts w:cs="Arial"/>
                                <w:color w:val="000000"/>
                                <w:sz w:val="16"/>
                                <w:szCs w:val="16"/>
                                <w:shd w:val="clear" w:color="auto" w:fill="FFFFFF"/>
                              </w:rPr>
                              <w:t>Chien</w:t>
                            </w:r>
                            <w:proofErr w:type="spellEnd"/>
                            <w:r w:rsidRPr="000D0762">
                              <w:rPr>
                                <w:rFonts w:cs="Arial"/>
                                <w:color w:val="000000"/>
                                <w:sz w:val="16"/>
                                <w:szCs w:val="16"/>
                                <w:shd w:val="clear" w:color="auto" w:fill="FFFFFF"/>
                              </w:rPr>
                              <w:t xml:space="preserve"> KL et al.  </w:t>
                            </w:r>
                            <w:proofErr w:type="gramStart"/>
                            <w:r w:rsidRPr="000D0762">
                              <w:rPr>
                                <w:rFonts w:cs="Arial"/>
                                <w:color w:val="000000"/>
                                <w:sz w:val="16"/>
                                <w:szCs w:val="16"/>
                                <w:shd w:val="clear" w:color="auto" w:fill="FFFFFF"/>
                              </w:rPr>
                              <w:t>Risk of infective endocarditis after dental treatments.</w:t>
                            </w:r>
                            <w:proofErr w:type="gramEnd"/>
                            <w:r w:rsidRPr="000D0762">
                              <w:rPr>
                                <w:rFonts w:cs="Arial"/>
                                <w:color w:val="000000"/>
                                <w:sz w:val="16"/>
                                <w:szCs w:val="16"/>
                                <w:shd w:val="clear" w:color="auto" w:fill="FFFFFF"/>
                              </w:rPr>
                              <w:t xml:space="preserve">  Circulation 2018; 138(4):356-63.</w:t>
                            </w:r>
                          </w:p>
                          <w:p w:rsidR="000D0762" w:rsidRPr="000D0762" w:rsidRDefault="000D0762" w:rsidP="000D0762">
                            <w:pPr>
                              <w:spacing w:after="0" w:line="240" w:lineRule="auto"/>
                              <w:rPr>
                                <w:rFonts w:cs="Arial"/>
                                <w:color w:val="000000"/>
                                <w:sz w:val="16"/>
                                <w:szCs w:val="16"/>
                                <w:shd w:val="clear" w:color="auto" w:fill="FFFFFF"/>
                              </w:rPr>
                            </w:pPr>
                            <w:proofErr w:type="gramStart"/>
                            <w:r w:rsidRPr="000D0762">
                              <w:rPr>
                                <w:rFonts w:cs="Arial"/>
                                <w:color w:val="000000"/>
                                <w:sz w:val="16"/>
                                <w:szCs w:val="16"/>
                                <w:shd w:val="clear" w:color="auto" w:fill="FFFFFF"/>
                                <w:vertAlign w:val="superscript"/>
                              </w:rPr>
                              <w:t>15</w:t>
                            </w:r>
                            <w:r w:rsidRPr="000D0762">
                              <w:rPr>
                                <w:rFonts w:cs="Arial"/>
                                <w:color w:val="000000"/>
                                <w:sz w:val="16"/>
                                <w:szCs w:val="16"/>
                                <w:shd w:val="clear" w:color="auto" w:fill="FFFFFF"/>
                              </w:rPr>
                              <w:t xml:space="preserve">Nishimura RA, Otto CM, </w:t>
                            </w:r>
                            <w:proofErr w:type="spellStart"/>
                            <w:r w:rsidRPr="000D0762">
                              <w:rPr>
                                <w:rFonts w:cs="Arial"/>
                                <w:color w:val="000000"/>
                                <w:sz w:val="16"/>
                                <w:szCs w:val="16"/>
                                <w:shd w:val="clear" w:color="auto" w:fill="FFFFFF"/>
                              </w:rPr>
                              <w:t>Bonow</w:t>
                            </w:r>
                            <w:proofErr w:type="spellEnd"/>
                            <w:r w:rsidRPr="000D0762">
                              <w:rPr>
                                <w:rFonts w:cs="Arial"/>
                                <w:color w:val="000000"/>
                                <w:sz w:val="16"/>
                                <w:szCs w:val="16"/>
                                <w:shd w:val="clear" w:color="auto" w:fill="FFFFFF"/>
                              </w:rPr>
                              <w:t xml:space="preserve"> RO et al.</w:t>
                            </w:r>
                            <w:proofErr w:type="gramEnd"/>
                            <w:r w:rsidRPr="000D0762">
                              <w:rPr>
                                <w:rFonts w:cs="Arial"/>
                                <w:color w:val="000000"/>
                                <w:sz w:val="16"/>
                                <w:szCs w:val="16"/>
                                <w:shd w:val="clear" w:color="auto" w:fill="FFFFFF"/>
                              </w:rPr>
                              <w:t xml:space="preserve">  2017 AHA/ACC Focused update of the 2014 AHA/ACC guideline for the management of patients with valvular heart disease: a report of the ACC/AHA task force on clinical practice guidelines.  J Am </w:t>
                            </w:r>
                            <w:proofErr w:type="spellStart"/>
                            <w:r w:rsidRPr="000D0762">
                              <w:rPr>
                                <w:rFonts w:cs="Arial"/>
                                <w:color w:val="000000"/>
                                <w:sz w:val="16"/>
                                <w:szCs w:val="16"/>
                                <w:shd w:val="clear" w:color="auto" w:fill="FFFFFF"/>
                              </w:rPr>
                              <w:t>Coll</w:t>
                            </w:r>
                            <w:proofErr w:type="spellEnd"/>
                            <w:r w:rsidRPr="000D0762">
                              <w:rPr>
                                <w:rFonts w:cs="Arial"/>
                                <w:color w:val="000000"/>
                                <w:sz w:val="16"/>
                                <w:szCs w:val="16"/>
                                <w:shd w:val="clear" w:color="auto" w:fill="FFFFFF"/>
                              </w:rPr>
                              <w:t xml:space="preserve"> </w:t>
                            </w:r>
                            <w:proofErr w:type="spellStart"/>
                            <w:r w:rsidRPr="000D0762">
                              <w:rPr>
                                <w:rFonts w:cs="Arial"/>
                                <w:color w:val="000000"/>
                                <w:sz w:val="16"/>
                                <w:szCs w:val="16"/>
                                <w:shd w:val="clear" w:color="auto" w:fill="FFFFFF"/>
                              </w:rPr>
                              <w:t>Cardiol</w:t>
                            </w:r>
                            <w:proofErr w:type="spellEnd"/>
                            <w:r w:rsidRPr="000D0762">
                              <w:rPr>
                                <w:rFonts w:cs="Arial"/>
                                <w:color w:val="000000"/>
                                <w:sz w:val="16"/>
                                <w:szCs w:val="16"/>
                                <w:shd w:val="clear" w:color="auto" w:fill="FFFFFF"/>
                              </w:rPr>
                              <w:t xml:space="preserve"> 2017</w:t>
                            </w:r>
                            <w:proofErr w:type="gramStart"/>
                            <w:r w:rsidRPr="000D0762">
                              <w:rPr>
                                <w:rFonts w:cs="Arial"/>
                                <w:color w:val="000000"/>
                                <w:sz w:val="16"/>
                                <w:szCs w:val="16"/>
                                <w:shd w:val="clear" w:color="auto" w:fill="FFFFFF"/>
                              </w:rPr>
                              <w:t>;70</w:t>
                            </w:r>
                            <w:proofErr w:type="gramEnd"/>
                            <w:r w:rsidRPr="000D0762">
                              <w:rPr>
                                <w:rFonts w:cs="Arial"/>
                                <w:color w:val="000000"/>
                                <w:sz w:val="16"/>
                                <w:szCs w:val="16"/>
                                <w:shd w:val="clear" w:color="auto" w:fill="FFFFFF"/>
                              </w:rPr>
                              <w:t>(2):252-89.</w:t>
                            </w:r>
                          </w:p>
                          <w:p w:rsidR="000D0762" w:rsidRPr="000D0762" w:rsidRDefault="000D0762" w:rsidP="000D0762">
                            <w:pPr>
                              <w:spacing w:after="0" w:line="240" w:lineRule="auto"/>
                              <w:rPr>
                                <w:rFonts w:cs="Arial"/>
                                <w:color w:val="000000"/>
                                <w:sz w:val="16"/>
                                <w:szCs w:val="16"/>
                                <w:shd w:val="clear" w:color="auto" w:fill="FFFFFF"/>
                              </w:rPr>
                            </w:pPr>
                            <w:r w:rsidRPr="000D0762">
                              <w:rPr>
                                <w:rFonts w:cs="Arial"/>
                                <w:color w:val="000000"/>
                                <w:sz w:val="16"/>
                                <w:szCs w:val="16"/>
                                <w:shd w:val="clear" w:color="auto" w:fill="FFFFFF"/>
                                <w:vertAlign w:val="superscript"/>
                              </w:rPr>
                              <w:t>16</w:t>
                            </w:r>
                            <w:r w:rsidRPr="000D0762">
                              <w:rPr>
                                <w:rFonts w:cs="Arial"/>
                                <w:color w:val="000000"/>
                                <w:sz w:val="16"/>
                                <w:szCs w:val="16"/>
                                <w:shd w:val="clear" w:color="auto" w:fill="FFFFFF"/>
                              </w:rPr>
                              <w:t xml:space="preserve">Sollecito TP, </w:t>
                            </w:r>
                            <w:proofErr w:type="spellStart"/>
                            <w:r w:rsidRPr="000D0762">
                              <w:rPr>
                                <w:rFonts w:cs="Arial"/>
                                <w:color w:val="000000"/>
                                <w:sz w:val="16"/>
                                <w:szCs w:val="16"/>
                                <w:shd w:val="clear" w:color="auto" w:fill="FFFFFF"/>
                              </w:rPr>
                              <w:t>Abt</w:t>
                            </w:r>
                            <w:proofErr w:type="spellEnd"/>
                            <w:r w:rsidRPr="000D0762">
                              <w:rPr>
                                <w:rFonts w:cs="Arial"/>
                                <w:color w:val="000000"/>
                                <w:sz w:val="16"/>
                                <w:szCs w:val="16"/>
                                <w:shd w:val="clear" w:color="auto" w:fill="FFFFFF"/>
                              </w:rPr>
                              <w:t xml:space="preserve"> E, Lockhart PB et al.  The use of prophylactic antibiotics prior to dental procedures in patients with prosthetic joints: Evidence-based clinical practice guideline for dental practitioners – a report of the American Dental Association Council on Scientific Affairs.  JADA 2015</w:t>
                            </w:r>
                            <w:proofErr w:type="gramStart"/>
                            <w:r w:rsidRPr="000D0762">
                              <w:rPr>
                                <w:rFonts w:cs="Arial"/>
                                <w:color w:val="000000"/>
                                <w:sz w:val="16"/>
                                <w:szCs w:val="16"/>
                                <w:shd w:val="clear" w:color="auto" w:fill="FFFFFF"/>
                              </w:rPr>
                              <w:t>;146</w:t>
                            </w:r>
                            <w:proofErr w:type="gramEnd"/>
                            <w:r w:rsidRPr="000D0762">
                              <w:rPr>
                                <w:rFonts w:cs="Arial"/>
                                <w:color w:val="000000"/>
                                <w:sz w:val="16"/>
                                <w:szCs w:val="16"/>
                                <w:shd w:val="clear" w:color="auto" w:fill="FFFFFF"/>
                              </w:rPr>
                              <w:t>(1):11-6 e8.</w:t>
                            </w:r>
                          </w:p>
                          <w:p w:rsidR="000D0762" w:rsidRPr="000D0762" w:rsidRDefault="000D0762" w:rsidP="000D0762">
                            <w:pPr>
                              <w:spacing w:after="0" w:line="240" w:lineRule="auto"/>
                              <w:rPr>
                                <w:rFonts w:cs="Arial"/>
                                <w:color w:val="000000"/>
                                <w:sz w:val="16"/>
                                <w:szCs w:val="16"/>
                                <w:shd w:val="clear" w:color="auto" w:fill="FFFFFF"/>
                              </w:rPr>
                            </w:pPr>
                            <w:proofErr w:type="gramStart"/>
                            <w:r w:rsidRPr="000D0762">
                              <w:rPr>
                                <w:rFonts w:cs="Arial"/>
                                <w:color w:val="000000"/>
                                <w:sz w:val="16"/>
                                <w:szCs w:val="16"/>
                                <w:shd w:val="clear" w:color="auto" w:fill="FFFFFF"/>
                                <w:vertAlign w:val="superscript"/>
                              </w:rPr>
                              <w:t>17</w:t>
                            </w:r>
                            <w:r w:rsidRPr="000D0762">
                              <w:rPr>
                                <w:rFonts w:cs="Arial"/>
                                <w:color w:val="000000"/>
                                <w:sz w:val="16"/>
                                <w:szCs w:val="16"/>
                                <w:shd w:val="clear" w:color="auto" w:fill="FFFFFF"/>
                              </w:rPr>
                              <w:t xml:space="preserve">Berbari EF, </w:t>
                            </w:r>
                            <w:proofErr w:type="spellStart"/>
                            <w:r w:rsidRPr="000D0762">
                              <w:rPr>
                                <w:rFonts w:cs="Arial"/>
                                <w:color w:val="000000"/>
                                <w:sz w:val="16"/>
                                <w:szCs w:val="16"/>
                                <w:shd w:val="clear" w:color="auto" w:fill="FFFFFF"/>
                              </w:rPr>
                              <w:t>Osmon</w:t>
                            </w:r>
                            <w:proofErr w:type="spellEnd"/>
                            <w:r w:rsidRPr="000D0762">
                              <w:rPr>
                                <w:rFonts w:cs="Arial"/>
                                <w:color w:val="000000"/>
                                <w:sz w:val="16"/>
                                <w:szCs w:val="16"/>
                                <w:shd w:val="clear" w:color="auto" w:fill="FFFFFF"/>
                              </w:rPr>
                              <w:t xml:space="preserve"> DR, </w:t>
                            </w:r>
                            <w:proofErr w:type="spellStart"/>
                            <w:r w:rsidRPr="000D0762">
                              <w:rPr>
                                <w:rFonts w:cs="Arial"/>
                                <w:color w:val="000000"/>
                                <w:sz w:val="16"/>
                                <w:szCs w:val="16"/>
                                <w:shd w:val="clear" w:color="auto" w:fill="FFFFFF"/>
                              </w:rPr>
                              <w:t>Carr</w:t>
                            </w:r>
                            <w:proofErr w:type="spellEnd"/>
                            <w:r w:rsidRPr="000D0762">
                              <w:rPr>
                                <w:rFonts w:cs="Arial"/>
                                <w:color w:val="000000"/>
                                <w:sz w:val="16"/>
                                <w:szCs w:val="16"/>
                                <w:shd w:val="clear" w:color="auto" w:fill="FFFFFF"/>
                              </w:rPr>
                              <w:t xml:space="preserve"> A et al.</w:t>
                            </w:r>
                            <w:proofErr w:type="gramEnd"/>
                            <w:r w:rsidRPr="000D0762">
                              <w:rPr>
                                <w:rFonts w:cs="Arial"/>
                                <w:color w:val="000000"/>
                                <w:sz w:val="16"/>
                                <w:szCs w:val="16"/>
                                <w:shd w:val="clear" w:color="auto" w:fill="FFFFFF"/>
                              </w:rPr>
                              <w:t xml:space="preserve">  Dental procedures as risk factors for prosthetic hip or knee infection: a hospital-based prospective case-control study.  CID 2010; 50(1):8-16.</w:t>
                            </w:r>
                          </w:p>
                          <w:p w:rsidR="000D0762" w:rsidRPr="000D0762" w:rsidRDefault="000D0762" w:rsidP="000D0762">
                            <w:pPr>
                              <w:spacing w:after="0" w:line="240" w:lineRule="auto"/>
                              <w:rPr>
                                <w:rFonts w:cs="Arial"/>
                                <w:color w:val="000000"/>
                                <w:sz w:val="16"/>
                                <w:szCs w:val="16"/>
                                <w:shd w:val="clear" w:color="auto" w:fill="FFFFFF"/>
                              </w:rPr>
                            </w:pPr>
                            <w:proofErr w:type="gramStart"/>
                            <w:r w:rsidRPr="000D0762">
                              <w:rPr>
                                <w:rFonts w:cs="Arial"/>
                                <w:color w:val="000000"/>
                                <w:sz w:val="16"/>
                                <w:szCs w:val="16"/>
                                <w:shd w:val="clear" w:color="auto" w:fill="FFFFFF"/>
                                <w:vertAlign w:val="superscript"/>
                              </w:rPr>
                              <w:t>18</w:t>
                            </w:r>
                            <w:r w:rsidRPr="000D0762">
                              <w:rPr>
                                <w:rFonts w:cs="Arial"/>
                                <w:color w:val="000000"/>
                                <w:sz w:val="16"/>
                                <w:szCs w:val="16"/>
                                <w:shd w:val="clear" w:color="auto" w:fill="FFFFFF"/>
                              </w:rPr>
                              <w:t>Skaar DD, O’Connor H, Hodges JS et al.</w:t>
                            </w:r>
                            <w:proofErr w:type="gramEnd"/>
                            <w:r w:rsidRPr="000D0762">
                              <w:rPr>
                                <w:rFonts w:cs="Arial"/>
                                <w:color w:val="000000"/>
                                <w:sz w:val="16"/>
                                <w:szCs w:val="16"/>
                                <w:shd w:val="clear" w:color="auto" w:fill="FFFFFF"/>
                              </w:rPr>
                              <w:t xml:space="preserve">  Dental procedures and subsequent prosthetic joint infections: findings from the </w:t>
                            </w:r>
                            <w:proofErr w:type="spellStart"/>
                            <w:r w:rsidRPr="000D0762">
                              <w:rPr>
                                <w:rFonts w:cs="Arial"/>
                                <w:color w:val="000000"/>
                                <w:sz w:val="16"/>
                                <w:szCs w:val="16"/>
                                <w:shd w:val="clear" w:color="auto" w:fill="FFFFFF"/>
                              </w:rPr>
                              <w:t>medicare</w:t>
                            </w:r>
                            <w:proofErr w:type="spellEnd"/>
                            <w:r w:rsidRPr="000D0762">
                              <w:rPr>
                                <w:rFonts w:cs="Arial"/>
                                <w:color w:val="000000"/>
                                <w:sz w:val="16"/>
                                <w:szCs w:val="16"/>
                                <w:shd w:val="clear" w:color="auto" w:fill="FFFFFF"/>
                              </w:rPr>
                              <w:t xml:space="preserve"> current beneficiary </w:t>
                            </w:r>
                            <w:proofErr w:type="spellStart"/>
                            <w:r w:rsidRPr="000D0762">
                              <w:rPr>
                                <w:rFonts w:cs="Arial"/>
                                <w:color w:val="000000"/>
                                <w:sz w:val="16"/>
                                <w:szCs w:val="16"/>
                                <w:shd w:val="clear" w:color="auto" w:fill="FFFFFF"/>
                              </w:rPr>
                              <w:t>survey.JADA</w:t>
                            </w:r>
                            <w:proofErr w:type="spellEnd"/>
                            <w:r w:rsidRPr="000D0762">
                              <w:rPr>
                                <w:rFonts w:cs="Arial"/>
                                <w:color w:val="000000"/>
                                <w:sz w:val="16"/>
                                <w:szCs w:val="16"/>
                                <w:shd w:val="clear" w:color="auto" w:fill="FFFFFF"/>
                              </w:rPr>
                              <w:t xml:space="preserve"> 2011</w:t>
                            </w:r>
                            <w:proofErr w:type="gramStart"/>
                            <w:r w:rsidRPr="000D0762">
                              <w:rPr>
                                <w:rFonts w:cs="Arial"/>
                                <w:color w:val="000000"/>
                                <w:sz w:val="16"/>
                                <w:szCs w:val="16"/>
                                <w:shd w:val="clear" w:color="auto" w:fill="FFFFFF"/>
                              </w:rPr>
                              <w:t>;142</w:t>
                            </w:r>
                            <w:proofErr w:type="gramEnd"/>
                            <w:r w:rsidRPr="000D0762">
                              <w:rPr>
                                <w:rFonts w:cs="Arial"/>
                                <w:color w:val="000000"/>
                                <w:sz w:val="16"/>
                                <w:szCs w:val="16"/>
                                <w:shd w:val="clear" w:color="auto" w:fill="FFFFFF"/>
                              </w:rPr>
                              <w:t>(12):1343-51.</w:t>
                            </w:r>
                          </w:p>
                          <w:p w:rsidR="000D0762" w:rsidRPr="000D0762" w:rsidRDefault="000D0762" w:rsidP="000D0762">
                            <w:pPr>
                              <w:spacing w:after="0" w:line="240" w:lineRule="auto"/>
                              <w:rPr>
                                <w:rFonts w:cs="Arial"/>
                                <w:color w:val="000000"/>
                                <w:sz w:val="16"/>
                                <w:szCs w:val="16"/>
                                <w:shd w:val="clear" w:color="auto" w:fill="FFFFFF"/>
                              </w:rPr>
                            </w:pPr>
                            <w:r w:rsidRPr="000D0762">
                              <w:rPr>
                                <w:rFonts w:cs="Arial"/>
                                <w:color w:val="000000"/>
                                <w:sz w:val="16"/>
                                <w:szCs w:val="16"/>
                                <w:shd w:val="clear" w:color="auto" w:fill="FFFFFF"/>
                                <w:vertAlign w:val="superscript"/>
                              </w:rPr>
                              <w:t>19</w:t>
                            </w:r>
                            <w:r w:rsidRPr="000D0762">
                              <w:rPr>
                                <w:rFonts w:cs="Arial"/>
                                <w:color w:val="000000"/>
                                <w:sz w:val="16"/>
                                <w:szCs w:val="16"/>
                                <w:shd w:val="clear" w:color="auto" w:fill="FFFFFF"/>
                              </w:rPr>
                              <w:t xml:space="preserve">Swan J, </w:t>
                            </w:r>
                            <w:proofErr w:type="spellStart"/>
                            <w:r w:rsidRPr="000D0762">
                              <w:rPr>
                                <w:rFonts w:cs="Arial"/>
                                <w:color w:val="000000"/>
                                <w:sz w:val="16"/>
                                <w:szCs w:val="16"/>
                                <w:shd w:val="clear" w:color="auto" w:fill="FFFFFF"/>
                              </w:rPr>
                              <w:t>Dowsey</w:t>
                            </w:r>
                            <w:proofErr w:type="spellEnd"/>
                            <w:r w:rsidRPr="000D0762">
                              <w:rPr>
                                <w:rFonts w:cs="Arial"/>
                                <w:color w:val="000000"/>
                                <w:sz w:val="16"/>
                                <w:szCs w:val="16"/>
                                <w:shd w:val="clear" w:color="auto" w:fill="FFFFFF"/>
                              </w:rPr>
                              <w:t xml:space="preserve"> M, </w:t>
                            </w:r>
                            <w:proofErr w:type="spellStart"/>
                            <w:r w:rsidRPr="000D0762">
                              <w:rPr>
                                <w:rFonts w:cs="Arial"/>
                                <w:color w:val="000000"/>
                                <w:sz w:val="16"/>
                                <w:szCs w:val="16"/>
                                <w:shd w:val="clear" w:color="auto" w:fill="FFFFFF"/>
                              </w:rPr>
                              <w:t>Babazadeh</w:t>
                            </w:r>
                            <w:proofErr w:type="spellEnd"/>
                            <w:r w:rsidRPr="000D0762">
                              <w:rPr>
                                <w:rFonts w:cs="Arial"/>
                                <w:color w:val="000000"/>
                                <w:sz w:val="16"/>
                                <w:szCs w:val="16"/>
                                <w:shd w:val="clear" w:color="auto" w:fill="FFFFFF"/>
                              </w:rPr>
                              <w:t xml:space="preserve"> S et al.  </w:t>
                            </w:r>
                            <w:proofErr w:type="gramStart"/>
                            <w:r w:rsidRPr="000D0762">
                              <w:rPr>
                                <w:rFonts w:cs="Arial"/>
                                <w:color w:val="000000"/>
                                <w:sz w:val="16"/>
                                <w:szCs w:val="16"/>
                                <w:shd w:val="clear" w:color="auto" w:fill="FFFFFF"/>
                              </w:rPr>
                              <w:t xml:space="preserve">Significance of sentinel infective events in </w:t>
                            </w:r>
                            <w:proofErr w:type="spellStart"/>
                            <w:r w:rsidRPr="000D0762">
                              <w:rPr>
                                <w:rFonts w:cs="Arial"/>
                                <w:color w:val="000000"/>
                                <w:sz w:val="16"/>
                                <w:szCs w:val="16"/>
                                <w:shd w:val="clear" w:color="auto" w:fill="FFFFFF"/>
                              </w:rPr>
                              <w:t>haematogenous</w:t>
                            </w:r>
                            <w:proofErr w:type="spellEnd"/>
                            <w:r w:rsidRPr="000D0762">
                              <w:rPr>
                                <w:rFonts w:cs="Arial"/>
                                <w:color w:val="000000"/>
                                <w:sz w:val="16"/>
                                <w:szCs w:val="16"/>
                                <w:shd w:val="clear" w:color="auto" w:fill="FFFFFF"/>
                              </w:rPr>
                              <w:t xml:space="preserve"> prosthetic knee infections.</w:t>
                            </w:r>
                            <w:proofErr w:type="gramEnd"/>
                            <w:r w:rsidRPr="000D0762">
                              <w:rPr>
                                <w:rFonts w:cs="Arial"/>
                                <w:color w:val="000000"/>
                                <w:sz w:val="16"/>
                                <w:szCs w:val="16"/>
                                <w:shd w:val="clear" w:color="auto" w:fill="FFFFFF"/>
                              </w:rPr>
                              <w:t xml:space="preserve">  ANZ J </w:t>
                            </w:r>
                            <w:proofErr w:type="spellStart"/>
                            <w:r w:rsidRPr="000D0762">
                              <w:rPr>
                                <w:rFonts w:cs="Arial"/>
                                <w:color w:val="000000"/>
                                <w:sz w:val="16"/>
                                <w:szCs w:val="16"/>
                                <w:shd w:val="clear" w:color="auto" w:fill="FFFFFF"/>
                              </w:rPr>
                              <w:t>Surg</w:t>
                            </w:r>
                            <w:proofErr w:type="spellEnd"/>
                            <w:r w:rsidRPr="000D0762">
                              <w:rPr>
                                <w:rFonts w:cs="Arial"/>
                                <w:color w:val="000000"/>
                                <w:sz w:val="16"/>
                                <w:szCs w:val="16"/>
                                <w:shd w:val="clear" w:color="auto" w:fill="FFFFFF"/>
                              </w:rPr>
                              <w:t xml:space="preserve"> 2011</w:t>
                            </w:r>
                            <w:proofErr w:type="gramStart"/>
                            <w:r w:rsidRPr="000D0762">
                              <w:rPr>
                                <w:rFonts w:cs="Arial"/>
                                <w:color w:val="000000"/>
                                <w:sz w:val="16"/>
                                <w:szCs w:val="16"/>
                                <w:shd w:val="clear" w:color="auto" w:fill="FFFFFF"/>
                              </w:rPr>
                              <w:t>;81</w:t>
                            </w:r>
                            <w:proofErr w:type="gramEnd"/>
                            <w:r w:rsidRPr="000D0762">
                              <w:rPr>
                                <w:rFonts w:cs="Arial"/>
                                <w:color w:val="000000"/>
                                <w:sz w:val="16"/>
                                <w:szCs w:val="16"/>
                                <w:shd w:val="clear" w:color="auto" w:fill="FFFFFF"/>
                              </w:rPr>
                              <w:t>(1-2):40-5.</w:t>
                            </w:r>
                          </w:p>
                          <w:p w:rsidR="000D0762" w:rsidRPr="000D0762" w:rsidRDefault="000D0762" w:rsidP="000D0762">
                            <w:pPr>
                              <w:spacing w:after="0" w:line="240" w:lineRule="auto"/>
                              <w:rPr>
                                <w:rFonts w:cs="Arial"/>
                                <w:sz w:val="16"/>
                                <w:szCs w:val="16"/>
                                <w:shd w:val="clear" w:color="auto" w:fill="FFFFFF"/>
                              </w:rPr>
                            </w:pPr>
                            <w:proofErr w:type="gramStart"/>
                            <w:r w:rsidRPr="000D0762">
                              <w:rPr>
                                <w:rFonts w:cs="Arial"/>
                                <w:sz w:val="16"/>
                                <w:szCs w:val="16"/>
                                <w:shd w:val="clear" w:color="auto" w:fill="FFFFFF"/>
                                <w:vertAlign w:val="superscript"/>
                              </w:rPr>
                              <w:t>20</w:t>
                            </w:r>
                            <w:r w:rsidRPr="000D0762">
                              <w:rPr>
                                <w:rFonts w:cs="Arial"/>
                                <w:sz w:val="16"/>
                                <w:szCs w:val="16"/>
                                <w:shd w:val="clear" w:color="auto" w:fill="FFFFFF"/>
                              </w:rPr>
                              <w:t>American Association of Orthopedic Surgeons.</w:t>
                            </w:r>
                            <w:proofErr w:type="gramEnd"/>
                            <w:r w:rsidRPr="000D0762">
                              <w:rPr>
                                <w:rFonts w:cs="Arial"/>
                                <w:sz w:val="16"/>
                                <w:szCs w:val="16"/>
                                <w:shd w:val="clear" w:color="auto" w:fill="FFFFFF"/>
                              </w:rPr>
                              <w:t xml:space="preserve">  </w:t>
                            </w:r>
                            <w:proofErr w:type="gramStart"/>
                            <w:r w:rsidRPr="000D0762">
                              <w:rPr>
                                <w:rFonts w:cs="Arial"/>
                                <w:sz w:val="16"/>
                                <w:szCs w:val="16"/>
                                <w:shd w:val="clear" w:color="auto" w:fill="FFFFFF"/>
                              </w:rPr>
                              <w:t xml:space="preserve">Appropriate Use Criteria for the Management of Patient with </w:t>
                            </w:r>
                            <w:proofErr w:type="spellStart"/>
                            <w:r w:rsidRPr="000D0762">
                              <w:rPr>
                                <w:rFonts w:cs="Arial"/>
                                <w:sz w:val="16"/>
                                <w:szCs w:val="16"/>
                                <w:shd w:val="clear" w:color="auto" w:fill="FFFFFF"/>
                              </w:rPr>
                              <w:t>Orthopaedic</w:t>
                            </w:r>
                            <w:proofErr w:type="spellEnd"/>
                            <w:r w:rsidRPr="000D0762">
                              <w:rPr>
                                <w:rFonts w:cs="Arial"/>
                                <w:sz w:val="16"/>
                                <w:szCs w:val="16"/>
                                <w:shd w:val="clear" w:color="auto" w:fill="FFFFFF"/>
                              </w:rPr>
                              <w:t xml:space="preserve"> Implants Undergoing Dental Procedures.</w:t>
                            </w:r>
                            <w:proofErr w:type="gramEnd"/>
                          </w:p>
                          <w:p w:rsidR="000D0762" w:rsidRPr="000D0762" w:rsidRDefault="000D0762" w:rsidP="000D0762">
                            <w:pPr>
                              <w:spacing w:after="0" w:line="240" w:lineRule="auto"/>
                              <w:rPr>
                                <w:sz w:val="16"/>
                                <w:szCs w:val="16"/>
                              </w:rPr>
                            </w:pPr>
                            <w:r w:rsidRPr="000D0762">
                              <w:rPr>
                                <w:sz w:val="16"/>
                                <w:szCs w:val="16"/>
                              </w:rPr>
                              <w:t xml:space="preserve">Available at: </w:t>
                            </w:r>
                            <w:hyperlink r:id="rId19" w:history="1">
                              <w:r w:rsidRPr="000D0762">
                                <w:rPr>
                                  <w:rStyle w:val="Hyperlink"/>
                                  <w:color w:val="auto"/>
                                  <w:sz w:val="16"/>
                                  <w:szCs w:val="16"/>
                                  <w:u w:val="none"/>
                                </w:rPr>
                                <w:t>https://www.aaos.org/uploadedFiles/PreProduction/Quality/AUCs_and_Performance _Measures/appropriate_use/auc-patients-with-orthopaedic-implants-dental-procedures.pdf</w:t>
                              </w:r>
                            </w:hyperlink>
                            <w:r w:rsidRPr="000D0762">
                              <w:rPr>
                                <w:sz w:val="16"/>
                                <w:szCs w:val="16"/>
                              </w:rPr>
                              <w:t>.</w:t>
                            </w:r>
                          </w:p>
                          <w:p w:rsidR="000D0762" w:rsidRDefault="000D076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margin-left:0;margin-top:0;width:186.95pt;height:579pt;rotation:180;z-index:251677696;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" strokecolor="white [3212]">
                <v:textbox>
                  <w:txbxContent>
                    <w:p w:rsidR="000D0762" w:rsidRPr="000D0762" w:rsidRDefault="000D0762" w:rsidP="000D0762">
                      <w:pPr>
                        <w:spacing w:after="0" w:line="240" w:lineRule="auto"/>
                        <w:rPr>
                          <w:sz w:val="16"/>
                          <w:szCs w:val="16"/>
                        </w:rPr>
                      </w:pPr>
                      <w:r w:rsidRPr="000D0762">
                        <w:rPr>
                          <w:sz w:val="16"/>
                          <w:szCs w:val="16"/>
                        </w:rPr>
                        <w:t>References:</w:t>
                      </w:r>
                    </w:p>
                    <w:p w:rsidR="000D0762" w:rsidRPr="000D0762" w:rsidRDefault="000D0762" w:rsidP="000D0762">
                      <w:pPr>
                        <w:spacing w:after="0" w:line="240" w:lineRule="auto"/>
                        <w:rPr>
                          <w:sz w:val="16"/>
                          <w:szCs w:val="16"/>
                        </w:rPr>
                      </w:pPr>
                      <w:r w:rsidRPr="000D0762">
                        <w:rPr>
                          <w:sz w:val="16"/>
                          <w:szCs w:val="16"/>
                          <w:vertAlign w:val="superscript"/>
                        </w:rPr>
                        <w:t>1</w:t>
                      </w:r>
                      <w:r w:rsidRPr="000D0762">
                        <w:rPr>
                          <w:sz w:val="16"/>
                          <w:szCs w:val="16"/>
                        </w:rPr>
                        <w:t xml:space="preserve">Derkin MJ, </w:t>
                      </w:r>
                      <w:proofErr w:type="spellStart"/>
                      <w:r w:rsidRPr="000D0762">
                        <w:rPr>
                          <w:sz w:val="16"/>
                          <w:szCs w:val="16"/>
                        </w:rPr>
                        <w:t>Hseuh</w:t>
                      </w:r>
                      <w:proofErr w:type="spellEnd"/>
                      <w:r w:rsidRPr="000D0762">
                        <w:rPr>
                          <w:sz w:val="16"/>
                          <w:szCs w:val="16"/>
                        </w:rPr>
                        <w:t xml:space="preserve"> K, </w:t>
                      </w:r>
                      <w:proofErr w:type="spellStart"/>
                      <w:r w:rsidRPr="000D0762">
                        <w:rPr>
                          <w:sz w:val="16"/>
                          <w:szCs w:val="16"/>
                        </w:rPr>
                        <w:t>Sallah</w:t>
                      </w:r>
                      <w:proofErr w:type="spellEnd"/>
                      <w:r w:rsidRPr="000D0762">
                        <w:rPr>
                          <w:sz w:val="16"/>
                          <w:szCs w:val="16"/>
                        </w:rPr>
                        <w:t xml:space="preserve"> YH et al.  </w:t>
                      </w:r>
                      <w:proofErr w:type="gramStart"/>
                      <w:r w:rsidRPr="000D0762">
                        <w:rPr>
                          <w:sz w:val="16"/>
                          <w:szCs w:val="16"/>
                        </w:rPr>
                        <w:t>An evaluation of dental antibiotic prescribing practices in the US.</w:t>
                      </w:r>
                      <w:proofErr w:type="gramEnd"/>
                      <w:r w:rsidRPr="000D0762">
                        <w:rPr>
                          <w:sz w:val="16"/>
                          <w:szCs w:val="16"/>
                        </w:rPr>
                        <w:t xml:space="preserve">  </w:t>
                      </w:r>
                      <w:proofErr w:type="gramStart"/>
                      <w:r w:rsidRPr="000D0762">
                        <w:rPr>
                          <w:sz w:val="16"/>
                          <w:szCs w:val="16"/>
                        </w:rPr>
                        <w:t>JADA.</w:t>
                      </w:r>
                      <w:proofErr w:type="gramEnd"/>
                      <w:r w:rsidRPr="000D0762">
                        <w:rPr>
                          <w:sz w:val="16"/>
                          <w:szCs w:val="16"/>
                        </w:rPr>
                        <w:t xml:space="preserve">  2017</w:t>
                      </w:r>
                      <w:proofErr w:type="gramStart"/>
                      <w:r w:rsidRPr="000D0762">
                        <w:rPr>
                          <w:sz w:val="16"/>
                          <w:szCs w:val="16"/>
                        </w:rPr>
                        <w:t>;148</w:t>
                      </w:r>
                      <w:proofErr w:type="gramEnd"/>
                      <w:r w:rsidRPr="000D0762">
                        <w:rPr>
                          <w:sz w:val="16"/>
                          <w:szCs w:val="16"/>
                        </w:rPr>
                        <w:t>(12):878-886 e1.</w:t>
                      </w:r>
                    </w:p>
                    <w:p w:rsidR="000D0762" w:rsidRPr="000D0762" w:rsidRDefault="000D0762" w:rsidP="000D0762">
                      <w:pPr>
                        <w:spacing w:after="0" w:line="240" w:lineRule="auto"/>
                        <w:rPr>
                          <w:sz w:val="16"/>
                          <w:szCs w:val="16"/>
                        </w:rPr>
                      </w:pPr>
                      <w:r w:rsidRPr="000D0762">
                        <w:rPr>
                          <w:sz w:val="16"/>
                          <w:szCs w:val="16"/>
                          <w:vertAlign w:val="superscript"/>
                        </w:rPr>
                        <w:t>2</w:t>
                      </w:r>
                      <w:r w:rsidRPr="000D0762">
                        <w:rPr>
                          <w:sz w:val="16"/>
                          <w:szCs w:val="16"/>
                        </w:rPr>
                        <w:t xml:space="preserve">Gross AE, Hannah D, Rowan SA, </w:t>
                      </w:r>
                      <w:proofErr w:type="spellStart"/>
                      <w:r w:rsidRPr="000D0762">
                        <w:rPr>
                          <w:sz w:val="16"/>
                          <w:szCs w:val="16"/>
                        </w:rPr>
                        <w:t>Bleasdale</w:t>
                      </w:r>
                      <w:proofErr w:type="spellEnd"/>
                      <w:r w:rsidRPr="000D0762">
                        <w:rPr>
                          <w:sz w:val="16"/>
                          <w:szCs w:val="16"/>
                        </w:rPr>
                        <w:t xml:space="preserve"> SC, </w:t>
                      </w:r>
                      <w:proofErr w:type="spellStart"/>
                      <w:r w:rsidRPr="000D0762">
                        <w:rPr>
                          <w:sz w:val="16"/>
                          <w:szCs w:val="16"/>
                        </w:rPr>
                        <w:t>Suda</w:t>
                      </w:r>
                      <w:proofErr w:type="spellEnd"/>
                      <w:r w:rsidRPr="000D0762">
                        <w:rPr>
                          <w:sz w:val="16"/>
                          <w:szCs w:val="16"/>
                        </w:rPr>
                        <w:t xml:space="preserve"> KJ.  </w:t>
                      </w:r>
                      <w:proofErr w:type="gramStart"/>
                      <w:r w:rsidRPr="000D0762">
                        <w:rPr>
                          <w:sz w:val="16"/>
                          <w:szCs w:val="16"/>
                        </w:rPr>
                        <w:t>Successful implementation of an antibiotic stewardship program in an academic dental practice.</w:t>
                      </w:r>
                      <w:proofErr w:type="gramEnd"/>
                      <w:r w:rsidRPr="000D0762">
                        <w:rPr>
                          <w:sz w:val="16"/>
                          <w:szCs w:val="16"/>
                        </w:rPr>
                        <w:t xml:space="preserve">  </w:t>
                      </w:r>
                      <w:proofErr w:type="gramStart"/>
                      <w:r w:rsidRPr="000D0762">
                        <w:rPr>
                          <w:sz w:val="16"/>
                          <w:szCs w:val="16"/>
                        </w:rPr>
                        <w:t>OFID.</w:t>
                      </w:r>
                      <w:proofErr w:type="gramEnd"/>
                      <w:r w:rsidRPr="000D0762">
                        <w:rPr>
                          <w:sz w:val="16"/>
                          <w:szCs w:val="16"/>
                        </w:rPr>
                        <w:t xml:space="preserve">  2019</w:t>
                      </w:r>
                      <w:proofErr w:type="gramStart"/>
                      <w:r w:rsidRPr="000D0762">
                        <w:rPr>
                          <w:sz w:val="16"/>
                          <w:szCs w:val="16"/>
                        </w:rPr>
                        <w:t>;6</w:t>
                      </w:r>
                      <w:proofErr w:type="gramEnd"/>
                      <w:r w:rsidRPr="000D0762">
                        <w:rPr>
                          <w:sz w:val="16"/>
                          <w:szCs w:val="16"/>
                        </w:rPr>
                        <w:t>(3):1-6.</w:t>
                      </w:r>
                    </w:p>
                    <w:p w:rsidR="000D0762" w:rsidRPr="000D0762" w:rsidRDefault="000D0762" w:rsidP="000D0762">
                      <w:pPr>
                        <w:spacing w:after="0" w:line="240" w:lineRule="auto"/>
                        <w:rPr>
                          <w:sz w:val="16"/>
                          <w:szCs w:val="16"/>
                        </w:rPr>
                      </w:pPr>
                      <w:r w:rsidRPr="000D0762">
                        <w:rPr>
                          <w:sz w:val="16"/>
                          <w:szCs w:val="16"/>
                          <w:vertAlign w:val="superscript"/>
                        </w:rPr>
                        <w:t>3</w:t>
                      </w:r>
                      <w:r w:rsidRPr="000D0762">
                        <w:rPr>
                          <w:sz w:val="16"/>
                          <w:szCs w:val="16"/>
                        </w:rPr>
                        <w:t xml:space="preserve">Suda KJ, </w:t>
                      </w:r>
                      <w:proofErr w:type="spellStart"/>
                      <w:r w:rsidRPr="000D0762">
                        <w:rPr>
                          <w:sz w:val="16"/>
                          <w:szCs w:val="16"/>
                        </w:rPr>
                        <w:t>Henschel</w:t>
                      </w:r>
                      <w:proofErr w:type="spellEnd"/>
                      <w:r w:rsidRPr="000D0762">
                        <w:rPr>
                          <w:sz w:val="16"/>
                          <w:szCs w:val="16"/>
                        </w:rPr>
                        <w:t xml:space="preserve"> H, Patel U et al.  </w:t>
                      </w:r>
                      <w:proofErr w:type="gramStart"/>
                      <w:r w:rsidRPr="000D0762">
                        <w:rPr>
                          <w:sz w:val="16"/>
                          <w:szCs w:val="16"/>
                        </w:rPr>
                        <w:t>Use of antibiotic prophylaxis for tooth extractions, dental implants, and periodontal surgical procedures, OFID.</w:t>
                      </w:r>
                      <w:proofErr w:type="gramEnd"/>
                      <w:r w:rsidRPr="000D0762">
                        <w:rPr>
                          <w:sz w:val="16"/>
                          <w:szCs w:val="16"/>
                        </w:rPr>
                        <w:t xml:space="preserve">  2018</w:t>
                      </w:r>
                      <w:proofErr w:type="gramStart"/>
                      <w:r w:rsidRPr="000D0762">
                        <w:rPr>
                          <w:sz w:val="16"/>
                          <w:szCs w:val="16"/>
                        </w:rPr>
                        <w:t>;5</w:t>
                      </w:r>
                      <w:proofErr w:type="gramEnd"/>
                      <w:r w:rsidRPr="000D0762">
                        <w:rPr>
                          <w:sz w:val="16"/>
                          <w:szCs w:val="16"/>
                        </w:rPr>
                        <w:t>(1):1-5.</w:t>
                      </w:r>
                    </w:p>
                    <w:p w:rsidR="000D0762" w:rsidRPr="000D0762" w:rsidRDefault="000D0762" w:rsidP="000D0762">
                      <w:pPr>
                        <w:spacing w:after="0" w:line="240" w:lineRule="auto"/>
                        <w:rPr>
                          <w:sz w:val="16"/>
                          <w:szCs w:val="16"/>
                        </w:rPr>
                      </w:pPr>
                      <w:proofErr w:type="gramStart"/>
                      <w:r w:rsidRPr="000D0762">
                        <w:rPr>
                          <w:sz w:val="16"/>
                          <w:szCs w:val="16"/>
                          <w:vertAlign w:val="superscript"/>
                        </w:rPr>
                        <w:t>4</w:t>
                      </w:r>
                      <w:r w:rsidRPr="000D0762">
                        <w:rPr>
                          <w:sz w:val="16"/>
                          <w:szCs w:val="16"/>
                        </w:rPr>
                        <w:t xml:space="preserve">Loffler C, </w:t>
                      </w:r>
                      <w:proofErr w:type="spellStart"/>
                      <w:r w:rsidRPr="000D0762">
                        <w:rPr>
                          <w:sz w:val="16"/>
                          <w:szCs w:val="16"/>
                        </w:rPr>
                        <w:t>Nohmer</w:t>
                      </w:r>
                      <w:proofErr w:type="spellEnd"/>
                      <w:r w:rsidRPr="000D0762">
                        <w:rPr>
                          <w:sz w:val="16"/>
                          <w:szCs w:val="16"/>
                        </w:rPr>
                        <w:t xml:space="preserve"> F.</w:t>
                      </w:r>
                      <w:proofErr w:type="gramEnd"/>
                      <w:r w:rsidRPr="000D0762">
                        <w:rPr>
                          <w:sz w:val="16"/>
                          <w:szCs w:val="16"/>
                        </w:rPr>
                        <w:t xml:space="preserve">  The effect of interventions aiming to optimize the prescription of antibiotics in dental care: a systemic review.  </w:t>
                      </w:r>
                      <w:proofErr w:type="spellStart"/>
                      <w:proofErr w:type="gramStart"/>
                      <w:r w:rsidRPr="000D0762">
                        <w:rPr>
                          <w:sz w:val="16"/>
                          <w:szCs w:val="16"/>
                        </w:rPr>
                        <w:t>PloS</w:t>
                      </w:r>
                      <w:proofErr w:type="spellEnd"/>
                      <w:r w:rsidRPr="000D0762">
                        <w:rPr>
                          <w:sz w:val="16"/>
                          <w:szCs w:val="16"/>
                        </w:rPr>
                        <w:t xml:space="preserve"> One.</w:t>
                      </w:r>
                      <w:proofErr w:type="gramEnd"/>
                      <w:r w:rsidRPr="000D0762">
                        <w:rPr>
                          <w:sz w:val="16"/>
                          <w:szCs w:val="16"/>
                        </w:rPr>
                        <w:t xml:space="preserve"> 2017</w:t>
                      </w:r>
                      <w:proofErr w:type="gramStart"/>
                      <w:r w:rsidRPr="000D0762">
                        <w:rPr>
                          <w:sz w:val="16"/>
                          <w:szCs w:val="16"/>
                        </w:rPr>
                        <w:t>;12</w:t>
                      </w:r>
                      <w:proofErr w:type="gramEnd"/>
                      <w:r w:rsidRPr="000D0762">
                        <w:rPr>
                          <w:sz w:val="16"/>
                          <w:szCs w:val="16"/>
                        </w:rPr>
                        <w:t>(11):1-23.</w:t>
                      </w:r>
                    </w:p>
                    <w:p w:rsidR="000D0762" w:rsidRPr="000D0762" w:rsidRDefault="000D0762" w:rsidP="000D0762">
                      <w:pPr>
                        <w:spacing w:after="0" w:line="240" w:lineRule="auto"/>
                        <w:rPr>
                          <w:sz w:val="16"/>
                          <w:szCs w:val="16"/>
                        </w:rPr>
                      </w:pPr>
                      <w:proofErr w:type="gramStart"/>
                      <w:r w:rsidRPr="000D0762">
                        <w:rPr>
                          <w:sz w:val="16"/>
                          <w:szCs w:val="16"/>
                          <w:vertAlign w:val="superscript"/>
                        </w:rPr>
                        <w:t>5</w:t>
                      </w:r>
                      <w:r w:rsidRPr="000D0762">
                        <w:rPr>
                          <w:sz w:val="16"/>
                          <w:szCs w:val="16"/>
                        </w:rPr>
                        <w:t>Siegel JD and Epson E.</w:t>
                      </w:r>
                      <w:proofErr w:type="gramEnd"/>
                      <w:r w:rsidRPr="000D0762">
                        <w:rPr>
                          <w:sz w:val="16"/>
                          <w:szCs w:val="16"/>
                        </w:rPr>
                        <w:t xml:space="preserve">  Antibiotic Prescribing and Stewardship in Dentistry:  A Public Health Perspective.  </w:t>
                      </w:r>
                      <w:proofErr w:type="gramStart"/>
                      <w:r w:rsidRPr="000D0762">
                        <w:rPr>
                          <w:sz w:val="16"/>
                          <w:szCs w:val="16"/>
                        </w:rPr>
                        <w:t>Journal of the California Dental Association.</w:t>
                      </w:r>
                      <w:proofErr w:type="gramEnd"/>
                      <w:r w:rsidRPr="000D0762">
                        <w:rPr>
                          <w:sz w:val="16"/>
                          <w:szCs w:val="16"/>
                        </w:rPr>
                        <w:t xml:space="preserve">  </w:t>
                      </w:r>
                      <w:proofErr w:type="gramStart"/>
                      <w:r w:rsidRPr="000D0762">
                        <w:rPr>
                          <w:sz w:val="16"/>
                          <w:szCs w:val="16"/>
                        </w:rPr>
                        <w:t>2018;</w:t>
                      </w:r>
                      <w:proofErr w:type="gramEnd"/>
                      <w:r w:rsidRPr="000D0762">
                        <w:rPr>
                          <w:sz w:val="16"/>
                          <w:szCs w:val="16"/>
                        </w:rPr>
                        <w:t>(46):755-765.</w:t>
                      </w:r>
                    </w:p>
                    <w:p w:rsidR="000D0762" w:rsidRPr="000D0762" w:rsidRDefault="000D0762" w:rsidP="000D0762">
                      <w:pPr>
                        <w:spacing w:after="0" w:line="240" w:lineRule="auto"/>
                        <w:rPr>
                          <w:color w:val="000000"/>
                          <w:sz w:val="16"/>
                          <w:szCs w:val="16"/>
                        </w:rPr>
                      </w:pPr>
                      <w:r w:rsidRPr="000D0762">
                        <w:rPr>
                          <w:sz w:val="16"/>
                          <w:szCs w:val="16"/>
                          <w:vertAlign w:val="superscript"/>
                        </w:rPr>
                        <w:t>6</w:t>
                      </w:r>
                      <w:r w:rsidRPr="000D0762">
                        <w:rPr>
                          <w:color w:val="000000"/>
                          <w:sz w:val="16"/>
                          <w:szCs w:val="16"/>
                        </w:rPr>
                        <w:t xml:space="preserve">Lockhart PB, </w:t>
                      </w:r>
                      <w:proofErr w:type="spellStart"/>
                      <w:r w:rsidRPr="000D0762">
                        <w:rPr>
                          <w:color w:val="000000"/>
                          <w:sz w:val="16"/>
                          <w:szCs w:val="16"/>
                        </w:rPr>
                        <w:t>Tampi</w:t>
                      </w:r>
                      <w:proofErr w:type="spellEnd"/>
                      <w:r w:rsidRPr="000D0762">
                        <w:rPr>
                          <w:color w:val="000000"/>
                          <w:sz w:val="16"/>
                          <w:szCs w:val="16"/>
                        </w:rPr>
                        <w:t xml:space="preserve"> MP, </w:t>
                      </w:r>
                      <w:proofErr w:type="spellStart"/>
                      <w:r w:rsidRPr="000D0762">
                        <w:rPr>
                          <w:color w:val="000000"/>
                          <w:sz w:val="16"/>
                          <w:szCs w:val="16"/>
                        </w:rPr>
                        <w:t>Abt</w:t>
                      </w:r>
                      <w:proofErr w:type="spellEnd"/>
                      <w:r w:rsidRPr="000D0762">
                        <w:rPr>
                          <w:color w:val="000000"/>
                          <w:sz w:val="16"/>
                          <w:szCs w:val="16"/>
                        </w:rPr>
                        <w:t xml:space="preserve"> E et al. Evidence-based clinical practice guideline on antibiotic use for the urgent management of pulpal- and periapical-related dental pain and intraoral swelling. </w:t>
                      </w:r>
                      <w:proofErr w:type="gramStart"/>
                      <w:r w:rsidRPr="000D0762">
                        <w:rPr>
                          <w:color w:val="000000"/>
                          <w:sz w:val="16"/>
                          <w:szCs w:val="16"/>
                        </w:rPr>
                        <w:t>JADA.</w:t>
                      </w:r>
                      <w:proofErr w:type="gramEnd"/>
                      <w:r w:rsidRPr="000D0762">
                        <w:rPr>
                          <w:color w:val="000000"/>
                          <w:sz w:val="16"/>
                          <w:szCs w:val="16"/>
                        </w:rPr>
                        <w:t xml:space="preserve"> 2019:150(11)</w:t>
                      </w:r>
                      <w:proofErr w:type="gramStart"/>
                      <w:r w:rsidRPr="000D0762">
                        <w:rPr>
                          <w:color w:val="000000"/>
                          <w:sz w:val="16"/>
                          <w:szCs w:val="16"/>
                        </w:rPr>
                        <w:t>;906</w:t>
                      </w:r>
                      <w:proofErr w:type="gramEnd"/>
                      <w:r w:rsidRPr="000D0762">
                        <w:rPr>
                          <w:color w:val="000000"/>
                          <w:sz w:val="16"/>
                          <w:szCs w:val="16"/>
                        </w:rPr>
                        <w:t>-921.e12.</w:t>
                      </w:r>
                    </w:p>
                    <w:p w:rsidR="000D0762" w:rsidRPr="000D0762" w:rsidRDefault="000D0762" w:rsidP="000D0762">
                      <w:pPr>
                        <w:pStyle w:val="NormalWeb"/>
                        <w:spacing w:before="0" w:beforeAutospacing="0" w:after="0" w:afterAutospacing="0"/>
                        <w:rPr>
                          <w:rFonts w:asciiTheme="minorHAnsi" w:hAnsiTheme="minorHAnsi"/>
                          <w:color w:val="000000"/>
                          <w:sz w:val="16"/>
                          <w:szCs w:val="16"/>
                        </w:rPr>
                      </w:pPr>
                      <w:r w:rsidRPr="000D0762">
                        <w:rPr>
                          <w:rFonts w:asciiTheme="minorHAnsi" w:hAnsiTheme="minorHAnsi"/>
                          <w:sz w:val="16"/>
                          <w:szCs w:val="16"/>
                          <w:vertAlign w:val="superscript"/>
                        </w:rPr>
                        <w:t>7</w:t>
                      </w:r>
                      <w:r w:rsidRPr="000D0762">
                        <w:rPr>
                          <w:rFonts w:asciiTheme="minorHAnsi" w:hAnsiTheme="minorHAnsi"/>
                          <w:color w:val="000000"/>
                          <w:sz w:val="16"/>
                          <w:szCs w:val="16"/>
                        </w:rPr>
                        <w:t xml:space="preserve">Moore PA, Ziegler KM, </w:t>
                      </w:r>
                      <w:proofErr w:type="spellStart"/>
                      <w:r w:rsidRPr="000D0762">
                        <w:rPr>
                          <w:rFonts w:asciiTheme="minorHAnsi" w:hAnsiTheme="minorHAnsi"/>
                          <w:color w:val="000000"/>
                          <w:sz w:val="16"/>
                          <w:szCs w:val="16"/>
                        </w:rPr>
                        <w:t>Lipman</w:t>
                      </w:r>
                      <w:proofErr w:type="spellEnd"/>
                      <w:r w:rsidRPr="000D0762">
                        <w:rPr>
                          <w:rFonts w:asciiTheme="minorHAnsi" w:hAnsiTheme="minorHAnsi"/>
                          <w:color w:val="000000"/>
                          <w:sz w:val="16"/>
                          <w:szCs w:val="16"/>
                        </w:rPr>
                        <w:t xml:space="preserve"> RD, </w:t>
                      </w:r>
                      <w:proofErr w:type="spellStart"/>
                      <w:r w:rsidRPr="000D0762">
                        <w:rPr>
                          <w:rFonts w:asciiTheme="minorHAnsi" w:hAnsiTheme="minorHAnsi"/>
                          <w:color w:val="000000"/>
                          <w:sz w:val="16"/>
                          <w:szCs w:val="16"/>
                        </w:rPr>
                        <w:t>Aminoshariae</w:t>
                      </w:r>
                      <w:proofErr w:type="spellEnd"/>
                      <w:r w:rsidRPr="000D0762">
                        <w:rPr>
                          <w:rFonts w:asciiTheme="minorHAnsi" w:hAnsiTheme="minorHAnsi"/>
                          <w:color w:val="000000"/>
                          <w:sz w:val="16"/>
                          <w:szCs w:val="16"/>
                        </w:rPr>
                        <w:t xml:space="preserve"> A, Carrasco-Labra A, </w:t>
                      </w:r>
                      <w:proofErr w:type="spellStart"/>
                      <w:r w:rsidRPr="000D0762">
                        <w:rPr>
                          <w:rFonts w:asciiTheme="minorHAnsi" w:hAnsiTheme="minorHAnsi"/>
                          <w:color w:val="000000"/>
                          <w:sz w:val="16"/>
                          <w:szCs w:val="16"/>
                        </w:rPr>
                        <w:t>Mariotti</w:t>
                      </w:r>
                      <w:proofErr w:type="spellEnd"/>
                      <w:r w:rsidRPr="000D0762">
                        <w:rPr>
                          <w:rFonts w:asciiTheme="minorHAnsi" w:hAnsiTheme="minorHAnsi"/>
                          <w:color w:val="000000"/>
                          <w:sz w:val="16"/>
                          <w:szCs w:val="16"/>
                        </w:rPr>
                        <w:t xml:space="preserve"> A. Benefits and harms associated with analgesic medications used in the management of acute dental pain: an overview of systemic reviews. </w:t>
                      </w:r>
                      <w:proofErr w:type="gramStart"/>
                      <w:r w:rsidRPr="000D0762">
                        <w:rPr>
                          <w:rFonts w:asciiTheme="minorHAnsi" w:hAnsiTheme="minorHAnsi"/>
                          <w:color w:val="000000"/>
                          <w:sz w:val="16"/>
                          <w:szCs w:val="16"/>
                        </w:rPr>
                        <w:t>JADA.</w:t>
                      </w:r>
                      <w:proofErr w:type="gramEnd"/>
                      <w:r w:rsidRPr="000D0762">
                        <w:rPr>
                          <w:rFonts w:asciiTheme="minorHAnsi" w:hAnsiTheme="minorHAnsi"/>
                          <w:color w:val="000000"/>
                          <w:sz w:val="16"/>
                          <w:szCs w:val="16"/>
                        </w:rPr>
                        <w:t xml:space="preserve"> 2018</w:t>
                      </w:r>
                      <w:proofErr w:type="gramStart"/>
                      <w:r w:rsidRPr="000D0762">
                        <w:rPr>
                          <w:rFonts w:asciiTheme="minorHAnsi" w:hAnsiTheme="minorHAnsi"/>
                          <w:color w:val="000000"/>
                          <w:sz w:val="16"/>
                          <w:szCs w:val="16"/>
                        </w:rPr>
                        <w:t>;149</w:t>
                      </w:r>
                      <w:proofErr w:type="gramEnd"/>
                      <w:r w:rsidRPr="000D0762">
                        <w:rPr>
                          <w:rFonts w:asciiTheme="minorHAnsi" w:hAnsiTheme="minorHAnsi"/>
                          <w:color w:val="000000"/>
                          <w:sz w:val="16"/>
                          <w:szCs w:val="16"/>
                        </w:rPr>
                        <w:t>(4):256-265 e3.</w:t>
                      </w:r>
                    </w:p>
                    <w:p w:rsidR="000D0762" w:rsidRPr="000D0762" w:rsidRDefault="000D0762" w:rsidP="000D0762">
                      <w:pPr>
                        <w:pStyle w:val="NormalWeb"/>
                        <w:spacing w:before="0" w:beforeAutospacing="0" w:after="0" w:afterAutospacing="0"/>
                        <w:rPr>
                          <w:rFonts w:asciiTheme="minorHAnsi" w:hAnsiTheme="minorHAnsi"/>
                          <w:color w:val="000000"/>
                          <w:sz w:val="16"/>
                          <w:szCs w:val="16"/>
                        </w:rPr>
                      </w:pPr>
                      <w:proofErr w:type="gramStart"/>
                      <w:r w:rsidRPr="000D0762">
                        <w:rPr>
                          <w:rFonts w:asciiTheme="minorHAnsi" w:hAnsiTheme="minorHAnsi"/>
                          <w:color w:val="000000"/>
                          <w:sz w:val="16"/>
                          <w:szCs w:val="16"/>
                          <w:vertAlign w:val="superscript"/>
                        </w:rPr>
                        <w:t>8</w:t>
                      </w:r>
                      <w:r w:rsidRPr="000D0762">
                        <w:rPr>
                          <w:rFonts w:asciiTheme="minorHAnsi" w:hAnsiTheme="minorHAnsi"/>
                          <w:color w:val="000000"/>
                          <w:sz w:val="16"/>
                          <w:szCs w:val="16"/>
                        </w:rPr>
                        <w:t xml:space="preserve">Blumenthal KG, Peter JG, </w:t>
                      </w:r>
                      <w:proofErr w:type="spellStart"/>
                      <w:r w:rsidRPr="000D0762">
                        <w:rPr>
                          <w:rFonts w:asciiTheme="minorHAnsi" w:hAnsiTheme="minorHAnsi"/>
                          <w:color w:val="000000"/>
                          <w:sz w:val="16"/>
                          <w:szCs w:val="16"/>
                        </w:rPr>
                        <w:t>Trubiano</w:t>
                      </w:r>
                      <w:proofErr w:type="spellEnd"/>
                      <w:r w:rsidRPr="000D0762">
                        <w:rPr>
                          <w:rFonts w:asciiTheme="minorHAnsi" w:hAnsiTheme="minorHAnsi"/>
                          <w:color w:val="000000"/>
                          <w:sz w:val="16"/>
                          <w:szCs w:val="16"/>
                        </w:rPr>
                        <w:t xml:space="preserve"> JA et al. Antibiotic Allergy.</w:t>
                      </w:r>
                      <w:proofErr w:type="gramEnd"/>
                      <w:r w:rsidRPr="000D0762">
                        <w:rPr>
                          <w:rFonts w:asciiTheme="minorHAnsi" w:hAnsiTheme="minorHAnsi"/>
                          <w:color w:val="000000"/>
                          <w:sz w:val="16"/>
                          <w:szCs w:val="16"/>
                        </w:rPr>
                        <w:t xml:space="preserve"> </w:t>
                      </w:r>
                      <w:proofErr w:type="gramStart"/>
                      <w:r w:rsidRPr="000D0762">
                        <w:rPr>
                          <w:rFonts w:asciiTheme="minorHAnsi" w:hAnsiTheme="minorHAnsi"/>
                          <w:color w:val="000000"/>
                          <w:sz w:val="16"/>
                          <w:szCs w:val="16"/>
                        </w:rPr>
                        <w:t>Lancet.</w:t>
                      </w:r>
                      <w:proofErr w:type="gramEnd"/>
                      <w:r w:rsidRPr="000D0762">
                        <w:rPr>
                          <w:rFonts w:asciiTheme="minorHAnsi" w:hAnsiTheme="minorHAnsi"/>
                          <w:color w:val="000000"/>
                          <w:sz w:val="16"/>
                          <w:szCs w:val="16"/>
                        </w:rPr>
                        <w:t xml:space="preserve"> 2019</w:t>
                      </w:r>
                      <w:proofErr w:type="gramStart"/>
                      <w:r w:rsidRPr="000D0762">
                        <w:rPr>
                          <w:rFonts w:asciiTheme="minorHAnsi" w:hAnsiTheme="minorHAnsi"/>
                          <w:color w:val="000000"/>
                          <w:sz w:val="16"/>
                          <w:szCs w:val="16"/>
                        </w:rPr>
                        <w:t>;393</w:t>
                      </w:r>
                      <w:proofErr w:type="gramEnd"/>
                      <w:r w:rsidRPr="000D0762">
                        <w:rPr>
                          <w:rFonts w:asciiTheme="minorHAnsi" w:hAnsiTheme="minorHAnsi"/>
                          <w:color w:val="000000"/>
                          <w:sz w:val="16"/>
                          <w:szCs w:val="16"/>
                        </w:rPr>
                        <w:t>(10167):187-198.</w:t>
                      </w:r>
                    </w:p>
                    <w:p w:rsidR="000D0762" w:rsidRPr="000D0762" w:rsidRDefault="000D0762" w:rsidP="000D0762">
                      <w:pPr>
                        <w:pStyle w:val="NormalWeb"/>
                        <w:spacing w:before="0" w:beforeAutospacing="0" w:after="0" w:afterAutospacing="0"/>
                        <w:rPr>
                          <w:rFonts w:asciiTheme="minorHAnsi" w:hAnsiTheme="minorHAnsi"/>
                          <w:color w:val="000000"/>
                          <w:sz w:val="16"/>
                          <w:szCs w:val="16"/>
                        </w:rPr>
                      </w:pPr>
                      <w:r w:rsidRPr="000D0762">
                        <w:rPr>
                          <w:rFonts w:asciiTheme="minorHAnsi" w:hAnsiTheme="minorHAnsi"/>
                          <w:color w:val="000000"/>
                          <w:sz w:val="16"/>
                          <w:szCs w:val="16"/>
                          <w:vertAlign w:val="superscript"/>
                        </w:rPr>
                        <w:t>9</w:t>
                      </w:r>
                      <w:r w:rsidRPr="000D0762">
                        <w:rPr>
                          <w:rFonts w:asciiTheme="minorHAnsi" w:hAnsiTheme="minorHAnsi"/>
                          <w:color w:val="000000"/>
                          <w:sz w:val="16"/>
                          <w:szCs w:val="16"/>
                        </w:rPr>
                        <w:t>Gross AE et al. “SHEA Featured Oral Abstract: Serious Antibiotic-Related Adverse Effects Following Unnecessary Dental Prophylaxis in the United States” ID Week 2019; Abstract 1895.</w:t>
                      </w:r>
                    </w:p>
                    <w:p w:rsidR="000D0762" w:rsidRPr="000D0762" w:rsidRDefault="000D0762" w:rsidP="000D0762">
                      <w:pPr>
                        <w:pStyle w:val="NormalWeb"/>
                        <w:spacing w:before="0" w:beforeAutospacing="0" w:after="0" w:afterAutospacing="0"/>
                        <w:rPr>
                          <w:rFonts w:asciiTheme="minorHAnsi" w:hAnsiTheme="minorHAnsi"/>
                          <w:color w:val="000000"/>
                          <w:sz w:val="16"/>
                          <w:szCs w:val="16"/>
                        </w:rPr>
                      </w:pPr>
                      <w:r w:rsidRPr="000D0762">
                        <w:rPr>
                          <w:rFonts w:asciiTheme="minorHAnsi" w:hAnsiTheme="minorHAnsi"/>
                          <w:color w:val="000000"/>
                          <w:sz w:val="16"/>
                          <w:szCs w:val="16"/>
                          <w:vertAlign w:val="superscript"/>
                        </w:rPr>
                        <w:t>10</w:t>
                      </w:r>
                      <w:r w:rsidRPr="000D0762">
                        <w:rPr>
                          <w:rFonts w:asciiTheme="minorHAnsi" w:hAnsiTheme="minorHAnsi"/>
                          <w:color w:val="000000"/>
                          <w:sz w:val="16"/>
                          <w:szCs w:val="16"/>
                        </w:rPr>
                        <w:t xml:space="preserve">Hupp J, Elis E and Tucker M.  </w:t>
                      </w:r>
                      <w:proofErr w:type="gramStart"/>
                      <w:r w:rsidRPr="000D0762">
                        <w:rPr>
                          <w:rFonts w:asciiTheme="minorHAnsi" w:hAnsiTheme="minorHAnsi"/>
                          <w:color w:val="000000"/>
                          <w:sz w:val="16"/>
                          <w:szCs w:val="16"/>
                        </w:rPr>
                        <w:t>Contemporary oral and maxillofacial survey, 2019.</w:t>
                      </w:r>
                      <w:proofErr w:type="gramEnd"/>
                      <w:r w:rsidRPr="000D0762">
                        <w:rPr>
                          <w:rFonts w:asciiTheme="minorHAnsi" w:hAnsiTheme="minorHAnsi"/>
                          <w:color w:val="000000"/>
                          <w:sz w:val="16"/>
                          <w:szCs w:val="16"/>
                        </w:rPr>
                        <w:t xml:space="preserve">  7</w:t>
                      </w:r>
                      <w:r w:rsidRPr="000D0762">
                        <w:rPr>
                          <w:rFonts w:asciiTheme="minorHAnsi" w:hAnsiTheme="minorHAnsi"/>
                          <w:color w:val="000000"/>
                          <w:sz w:val="16"/>
                          <w:szCs w:val="16"/>
                          <w:vertAlign w:val="superscript"/>
                        </w:rPr>
                        <w:t>th</w:t>
                      </w:r>
                      <w:r w:rsidRPr="000D0762">
                        <w:rPr>
                          <w:rFonts w:asciiTheme="minorHAnsi" w:hAnsiTheme="minorHAnsi"/>
                          <w:color w:val="000000"/>
                          <w:sz w:val="16"/>
                          <w:szCs w:val="16"/>
                        </w:rPr>
                        <w:t xml:space="preserve"> ed. Philadelphia: Elsevier, p. 163.</w:t>
                      </w:r>
                    </w:p>
                    <w:p w:rsidR="000D0762" w:rsidRPr="000D0762" w:rsidRDefault="000D0762" w:rsidP="000D0762">
                      <w:pPr>
                        <w:pStyle w:val="NormalWeb"/>
                        <w:spacing w:before="0" w:beforeAutospacing="0" w:after="0" w:afterAutospacing="0"/>
                        <w:rPr>
                          <w:rFonts w:asciiTheme="minorHAnsi" w:hAnsiTheme="minorHAnsi"/>
                          <w:color w:val="000000"/>
                          <w:sz w:val="16"/>
                          <w:szCs w:val="16"/>
                        </w:rPr>
                      </w:pPr>
                      <w:r w:rsidRPr="000D0762">
                        <w:rPr>
                          <w:rFonts w:asciiTheme="minorHAnsi" w:hAnsiTheme="minorHAnsi"/>
                          <w:color w:val="000000"/>
                          <w:sz w:val="16"/>
                          <w:szCs w:val="16"/>
                        </w:rPr>
                        <w:t xml:space="preserve">Stein K, Farmer J, </w:t>
                      </w:r>
                      <w:proofErr w:type="spellStart"/>
                      <w:r w:rsidRPr="000D0762">
                        <w:rPr>
                          <w:rFonts w:asciiTheme="minorHAnsi" w:hAnsiTheme="minorHAnsi"/>
                          <w:color w:val="000000"/>
                          <w:sz w:val="16"/>
                          <w:szCs w:val="16"/>
                        </w:rPr>
                        <w:t>Singhal</w:t>
                      </w:r>
                      <w:proofErr w:type="spellEnd"/>
                      <w:r w:rsidRPr="000D0762">
                        <w:rPr>
                          <w:rFonts w:asciiTheme="minorHAnsi" w:hAnsiTheme="minorHAnsi"/>
                          <w:color w:val="000000"/>
                          <w:sz w:val="16"/>
                          <w:szCs w:val="16"/>
                        </w:rPr>
                        <w:t xml:space="preserve"> S, </w:t>
                      </w:r>
                      <w:proofErr w:type="spellStart"/>
                      <w:r w:rsidRPr="000D0762">
                        <w:rPr>
                          <w:rFonts w:asciiTheme="minorHAnsi" w:hAnsiTheme="minorHAnsi"/>
                          <w:color w:val="000000"/>
                          <w:sz w:val="16"/>
                          <w:szCs w:val="16"/>
                        </w:rPr>
                        <w:t>Marra</w:t>
                      </w:r>
                      <w:proofErr w:type="spellEnd"/>
                      <w:r w:rsidRPr="000D0762">
                        <w:rPr>
                          <w:rFonts w:asciiTheme="minorHAnsi" w:hAnsiTheme="minorHAnsi"/>
                          <w:color w:val="000000"/>
                          <w:sz w:val="16"/>
                          <w:szCs w:val="16"/>
                        </w:rPr>
                        <w:t xml:space="preserve"> F, Sutherland S, </w:t>
                      </w:r>
                      <w:proofErr w:type="spellStart"/>
                      <w:r w:rsidRPr="000D0762">
                        <w:rPr>
                          <w:rFonts w:asciiTheme="minorHAnsi" w:hAnsiTheme="minorHAnsi"/>
                          <w:color w:val="000000"/>
                          <w:sz w:val="16"/>
                          <w:szCs w:val="16"/>
                        </w:rPr>
                        <w:t>Quinonez</w:t>
                      </w:r>
                      <w:proofErr w:type="spellEnd"/>
                      <w:r w:rsidRPr="000D0762">
                        <w:rPr>
                          <w:rFonts w:asciiTheme="minorHAnsi" w:hAnsiTheme="minorHAnsi"/>
                          <w:color w:val="000000"/>
                          <w:sz w:val="16"/>
                          <w:szCs w:val="16"/>
                        </w:rPr>
                        <w:t xml:space="preserve"> C. The use and misuse of antibiotics in dentistry: a scoping review. </w:t>
                      </w:r>
                      <w:proofErr w:type="gramStart"/>
                      <w:r w:rsidRPr="000D0762">
                        <w:rPr>
                          <w:rFonts w:asciiTheme="minorHAnsi" w:hAnsiTheme="minorHAnsi"/>
                          <w:color w:val="000000"/>
                          <w:sz w:val="16"/>
                          <w:szCs w:val="16"/>
                        </w:rPr>
                        <w:t>JADA.</w:t>
                      </w:r>
                      <w:proofErr w:type="gramEnd"/>
                      <w:r w:rsidRPr="000D0762">
                        <w:rPr>
                          <w:rFonts w:asciiTheme="minorHAnsi" w:hAnsiTheme="minorHAnsi"/>
                          <w:color w:val="000000"/>
                          <w:sz w:val="16"/>
                          <w:szCs w:val="16"/>
                        </w:rPr>
                        <w:t xml:space="preserve"> 2018</w:t>
                      </w:r>
                      <w:proofErr w:type="gramStart"/>
                      <w:r w:rsidRPr="000D0762">
                        <w:rPr>
                          <w:rFonts w:asciiTheme="minorHAnsi" w:hAnsiTheme="minorHAnsi"/>
                          <w:color w:val="000000"/>
                          <w:sz w:val="16"/>
                          <w:szCs w:val="16"/>
                        </w:rPr>
                        <w:t>;149</w:t>
                      </w:r>
                      <w:proofErr w:type="gramEnd"/>
                      <w:r w:rsidRPr="000D0762">
                        <w:rPr>
                          <w:rFonts w:asciiTheme="minorHAnsi" w:hAnsiTheme="minorHAnsi"/>
                          <w:color w:val="000000"/>
                          <w:sz w:val="16"/>
                          <w:szCs w:val="16"/>
                        </w:rPr>
                        <w:t>(10):869-884 e5.</w:t>
                      </w:r>
                    </w:p>
                    <w:p w:rsidR="000D0762" w:rsidRPr="000D0762" w:rsidRDefault="000D0762" w:rsidP="000D0762">
                      <w:pPr>
                        <w:spacing w:after="0" w:line="240" w:lineRule="auto"/>
                        <w:rPr>
                          <w:sz w:val="16"/>
                          <w:szCs w:val="16"/>
                        </w:rPr>
                      </w:pPr>
                      <w:r w:rsidRPr="000D0762">
                        <w:rPr>
                          <w:sz w:val="16"/>
                          <w:szCs w:val="16"/>
                          <w:vertAlign w:val="superscript"/>
                        </w:rPr>
                        <w:t>11</w:t>
                      </w:r>
                      <w:r w:rsidRPr="000D0762">
                        <w:rPr>
                          <w:sz w:val="16"/>
                          <w:szCs w:val="16"/>
                        </w:rPr>
                        <w:t xml:space="preserve">Blakey GH, White RP, </w:t>
                      </w:r>
                      <w:proofErr w:type="spellStart"/>
                      <w:r w:rsidRPr="000D0762">
                        <w:rPr>
                          <w:sz w:val="16"/>
                          <w:szCs w:val="16"/>
                        </w:rPr>
                        <w:t>Offenbacher</w:t>
                      </w:r>
                      <w:proofErr w:type="spellEnd"/>
                      <w:r w:rsidRPr="000D0762">
                        <w:rPr>
                          <w:sz w:val="16"/>
                          <w:szCs w:val="16"/>
                        </w:rPr>
                        <w:t xml:space="preserve"> S et al.  </w:t>
                      </w:r>
                      <w:proofErr w:type="gramStart"/>
                      <w:r w:rsidRPr="000D0762">
                        <w:rPr>
                          <w:sz w:val="16"/>
                          <w:szCs w:val="16"/>
                        </w:rPr>
                        <w:t>Clinical/biological outcomes of treatment for pericoronitis.</w:t>
                      </w:r>
                      <w:proofErr w:type="gramEnd"/>
                      <w:r w:rsidRPr="000D0762">
                        <w:rPr>
                          <w:sz w:val="16"/>
                          <w:szCs w:val="16"/>
                        </w:rPr>
                        <w:t xml:space="preserve">  Journal of Oral and Maxillofacial Survey 1996, 54(10), 1150-1160.</w:t>
                      </w:r>
                    </w:p>
                    <w:p w:rsidR="000D0762" w:rsidRPr="000D0762" w:rsidRDefault="000D0762" w:rsidP="000D0762">
                      <w:pPr>
                        <w:spacing w:after="0" w:line="240" w:lineRule="auto"/>
                        <w:rPr>
                          <w:sz w:val="16"/>
                          <w:szCs w:val="16"/>
                        </w:rPr>
                      </w:pPr>
                      <w:proofErr w:type="gramStart"/>
                      <w:r w:rsidRPr="000D0762">
                        <w:rPr>
                          <w:sz w:val="16"/>
                          <w:szCs w:val="16"/>
                          <w:vertAlign w:val="superscript"/>
                        </w:rPr>
                        <w:t>12</w:t>
                      </w:r>
                      <w:r w:rsidRPr="000D0762">
                        <w:rPr>
                          <w:sz w:val="16"/>
                          <w:szCs w:val="16"/>
                        </w:rPr>
                        <w:t xml:space="preserve">Wilson W, </w:t>
                      </w:r>
                      <w:proofErr w:type="spellStart"/>
                      <w:r w:rsidRPr="000D0762">
                        <w:rPr>
                          <w:sz w:val="16"/>
                          <w:szCs w:val="16"/>
                        </w:rPr>
                        <w:t>Taubert</w:t>
                      </w:r>
                      <w:proofErr w:type="spellEnd"/>
                      <w:r w:rsidRPr="000D0762">
                        <w:rPr>
                          <w:sz w:val="16"/>
                          <w:szCs w:val="16"/>
                        </w:rPr>
                        <w:t xml:space="preserve"> KA, </w:t>
                      </w:r>
                      <w:proofErr w:type="spellStart"/>
                      <w:r w:rsidRPr="000D0762">
                        <w:rPr>
                          <w:sz w:val="16"/>
                          <w:szCs w:val="16"/>
                        </w:rPr>
                        <w:t>Gewitz</w:t>
                      </w:r>
                      <w:proofErr w:type="spellEnd"/>
                      <w:r w:rsidRPr="000D0762">
                        <w:rPr>
                          <w:sz w:val="16"/>
                          <w:szCs w:val="16"/>
                        </w:rPr>
                        <w:t xml:space="preserve"> M et al.</w:t>
                      </w:r>
                      <w:proofErr w:type="gramEnd"/>
                      <w:r w:rsidRPr="000D0762">
                        <w:rPr>
                          <w:sz w:val="16"/>
                          <w:szCs w:val="16"/>
                        </w:rPr>
                        <w:t xml:space="preserve">  Prevention of infective endocarditis:  Guidelines from the American Health Association.  JADA 2008 Jan</w:t>
                      </w:r>
                      <w:proofErr w:type="gramStart"/>
                      <w:r w:rsidRPr="000D0762">
                        <w:rPr>
                          <w:sz w:val="16"/>
                          <w:szCs w:val="16"/>
                        </w:rPr>
                        <w:t>;139</w:t>
                      </w:r>
                      <w:proofErr w:type="gramEnd"/>
                      <w:r w:rsidRPr="000D0762">
                        <w:rPr>
                          <w:sz w:val="16"/>
                          <w:szCs w:val="16"/>
                        </w:rPr>
                        <w:t xml:space="preserve"> Suppl:3S-24S.</w:t>
                      </w:r>
                    </w:p>
                    <w:p w:rsidR="000D0762" w:rsidRPr="000D0762" w:rsidRDefault="000D0762" w:rsidP="000D0762">
                      <w:pPr>
                        <w:spacing w:after="0" w:line="240" w:lineRule="auto"/>
                        <w:rPr>
                          <w:rFonts w:cs="Arial"/>
                          <w:color w:val="000000"/>
                          <w:sz w:val="16"/>
                          <w:szCs w:val="16"/>
                          <w:shd w:val="clear" w:color="auto" w:fill="FFFFFF"/>
                        </w:rPr>
                      </w:pPr>
                      <w:proofErr w:type="gramStart"/>
                      <w:r w:rsidRPr="000D0762">
                        <w:rPr>
                          <w:sz w:val="16"/>
                          <w:szCs w:val="16"/>
                          <w:vertAlign w:val="superscript"/>
                        </w:rPr>
                        <w:t>13</w:t>
                      </w:r>
                      <w:r w:rsidRPr="000D0762">
                        <w:rPr>
                          <w:sz w:val="16"/>
                          <w:szCs w:val="16"/>
                        </w:rPr>
                        <w:t xml:space="preserve">Goff DA, </w:t>
                      </w:r>
                      <w:proofErr w:type="spellStart"/>
                      <w:r w:rsidRPr="000D0762">
                        <w:rPr>
                          <w:sz w:val="16"/>
                          <w:szCs w:val="16"/>
                        </w:rPr>
                        <w:t>Mangino</w:t>
                      </w:r>
                      <w:proofErr w:type="spellEnd"/>
                      <w:r w:rsidRPr="000D0762">
                        <w:rPr>
                          <w:sz w:val="16"/>
                          <w:szCs w:val="16"/>
                        </w:rPr>
                        <w:t xml:space="preserve"> JE, Glassman AH et al.</w:t>
                      </w:r>
                      <w:proofErr w:type="gramEnd"/>
                      <w:r w:rsidRPr="000D0762">
                        <w:rPr>
                          <w:sz w:val="16"/>
                          <w:szCs w:val="16"/>
                        </w:rPr>
                        <w:t xml:space="preserve">   Review of guidelines for dental antibiotic prophylaxis for prevention of endocarditis and prosthetic joint infections and need for dental stewardship.  CID 2019</w:t>
                      </w:r>
                      <w:proofErr w:type="gramStart"/>
                      <w:r w:rsidRPr="000D0762">
                        <w:rPr>
                          <w:sz w:val="16"/>
                          <w:szCs w:val="16"/>
                        </w:rPr>
                        <w:t xml:space="preserve">; </w:t>
                      </w:r>
                      <w:r w:rsidRPr="000D0762">
                        <w:rPr>
                          <w:rFonts w:cs="Arial"/>
                          <w:color w:val="000000"/>
                          <w:sz w:val="16"/>
                          <w:szCs w:val="16"/>
                          <w:shd w:val="clear" w:color="auto" w:fill="FFFFFF"/>
                        </w:rPr>
                        <w:t> </w:t>
                      </w:r>
                      <w:proofErr w:type="spellStart"/>
                      <w:r w:rsidRPr="000D0762">
                        <w:rPr>
                          <w:rFonts w:cs="Arial"/>
                          <w:color w:val="000000"/>
                          <w:sz w:val="16"/>
                          <w:szCs w:val="16"/>
                          <w:shd w:val="clear" w:color="auto" w:fill="FFFFFF"/>
                        </w:rPr>
                        <w:t>doi</w:t>
                      </w:r>
                      <w:proofErr w:type="spellEnd"/>
                      <w:proofErr w:type="gramEnd"/>
                      <w:r w:rsidRPr="000D0762">
                        <w:rPr>
                          <w:rFonts w:cs="Arial"/>
                          <w:color w:val="000000"/>
                          <w:sz w:val="16"/>
                          <w:szCs w:val="16"/>
                          <w:shd w:val="clear" w:color="auto" w:fill="FFFFFF"/>
                        </w:rPr>
                        <w:t>: 10.1093/</w:t>
                      </w:r>
                      <w:proofErr w:type="spellStart"/>
                      <w:r w:rsidRPr="000D0762">
                        <w:rPr>
                          <w:rFonts w:cs="Arial"/>
                          <w:color w:val="000000"/>
                          <w:sz w:val="16"/>
                          <w:szCs w:val="16"/>
                          <w:shd w:val="clear" w:color="auto" w:fill="FFFFFF"/>
                        </w:rPr>
                        <w:t>cid</w:t>
                      </w:r>
                      <w:proofErr w:type="spellEnd"/>
                      <w:r w:rsidRPr="000D0762">
                        <w:rPr>
                          <w:rFonts w:cs="Arial"/>
                          <w:color w:val="000000"/>
                          <w:sz w:val="16"/>
                          <w:szCs w:val="16"/>
                          <w:shd w:val="clear" w:color="auto" w:fill="FFFFFF"/>
                        </w:rPr>
                        <w:t>/ciz1118. [</w:t>
                      </w:r>
                      <w:proofErr w:type="spellStart"/>
                      <w:r w:rsidRPr="000D0762">
                        <w:rPr>
                          <w:rFonts w:cs="Arial"/>
                          <w:color w:val="000000"/>
                          <w:sz w:val="16"/>
                          <w:szCs w:val="16"/>
                          <w:shd w:val="clear" w:color="auto" w:fill="FFFFFF"/>
                        </w:rPr>
                        <w:t>Epub</w:t>
                      </w:r>
                      <w:proofErr w:type="spellEnd"/>
                      <w:r w:rsidRPr="000D0762">
                        <w:rPr>
                          <w:rFonts w:cs="Arial"/>
                          <w:color w:val="000000"/>
                          <w:sz w:val="16"/>
                          <w:szCs w:val="16"/>
                          <w:shd w:val="clear" w:color="auto" w:fill="FFFFFF"/>
                        </w:rPr>
                        <w:t xml:space="preserve"> ahead of print]</w:t>
                      </w:r>
                    </w:p>
                    <w:p w:rsidR="000D0762" w:rsidRPr="000D0762" w:rsidRDefault="000D0762" w:rsidP="000D0762">
                      <w:pPr>
                        <w:spacing w:after="0" w:line="240" w:lineRule="auto"/>
                        <w:rPr>
                          <w:rFonts w:cs="Arial"/>
                          <w:color w:val="000000"/>
                          <w:sz w:val="16"/>
                          <w:szCs w:val="16"/>
                          <w:shd w:val="clear" w:color="auto" w:fill="FFFFFF"/>
                        </w:rPr>
                      </w:pPr>
                      <w:r w:rsidRPr="000D0762">
                        <w:rPr>
                          <w:rFonts w:cs="Arial"/>
                          <w:color w:val="000000"/>
                          <w:sz w:val="16"/>
                          <w:szCs w:val="16"/>
                          <w:shd w:val="clear" w:color="auto" w:fill="FFFFFF"/>
                          <w:vertAlign w:val="superscript"/>
                        </w:rPr>
                        <w:t>14</w:t>
                      </w:r>
                      <w:r w:rsidRPr="000D0762">
                        <w:rPr>
                          <w:rFonts w:cs="Arial"/>
                          <w:color w:val="000000"/>
                          <w:sz w:val="16"/>
                          <w:szCs w:val="16"/>
                          <w:shd w:val="clear" w:color="auto" w:fill="FFFFFF"/>
                        </w:rPr>
                        <w:t xml:space="preserve">Chen TT, </w:t>
                      </w:r>
                      <w:proofErr w:type="spellStart"/>
                      <w:r w:rsidRPr="000D0762">
                        <w:rPr>
                          <w:rFonts w:cs="Arial"/>
                          <w:color w:val="000000"/>
                          <w:sz w:val="16"/>
                          <w:szCs w:val="16"/>
                          <w:shd w:val="clear" w:color="auto" w:fill="FFFFFF"/>
                        </w:rPr>
                        <w:t>Yeh</w:t>
                      </w:r>
                      <w:proofErr w:type="spellEnd"/>
                      <w:r w:rsidRPr="000D0762">
                        <w:rPr>
                          <w:rFonts w:cs="Arial"/>
                          <w:color w:val="000000"/>
                          <w:sz w:val="16"/>
                          <w:szCs w:val="16"/>
                          <w:shd w:val="clear" w:color="auto" w:fill="FFFFFF"/>
                        </w:rPr>
                        <w:t xml:space="preserve"> YC, </w:t>
                      </w:r>
                      <w:proofErr w:type="spellStart"/>
                      <w:r w:rsidRPr="000D0762">
                        <w:rPr>
                          <w:rFonts w:cs="Arial"/>
                          <w:color w:val="000000"/>
                          <w:sz w:val="16"/>
                          <w:szCs w:val="16"/>
                          <w:shd w:val="clear" w:color="auto" w:fill="FFFFFF"/>
                        </w:rPr>
                        <w:t>Chien</w:t>
                      </w:r>
                      <w:proofErr w:type="spellEnd"/>
                      <w:r w:rsidRPr="000D0762">
                        <w:rPr>
                          <w:rFonts w:cs="Arial"/>
                          <w:color w:val="000000"/>
                          <w:sz w:val="16"/>
                          <w:szCs w:val="16"/>
                          <w:shd w:val="clear" w:color="auto" w:fill="FFFFFF"/>
                        </w:rPr>
                        <w:t xml:space="preserve"> KL et al.  </w:t>
                      </w:r>
                      <w:proofErr w:type="gramStart"/>
                      <w:r w:rsidRPr="000D0762">
                        <w:rPr>
                          <w:rFonts w:cs="Arial"/>
                          <w:color w:val="000000"/>
                          <w:sz w:val="16"/>
                          <w:szCs w:val="16"/>
                          <w:shd w:val="clear" w:color="auto" w:fill="FFFFFF"/>
                        </w:rPr>
                        <w:t>Risk of infective endocarditis after dental treatments.</w:t>
                      </w:r>
                      <w:proofErr w:type="gramEnd"/>
                      <w:r w:rsidRPr="000D0762">
                        <w:rPr>
                          <w:rFonts w:cs="Arial"/>
                          <w:color w:val="000000"/>
                          <w:sz w:val="16"/>
                          <w:szCs w:val="16"/>
                          <w:shd w:val="clear" w:color="auto" w:fill="FFFFFF"/>
                        </w:rPr>
                        <w:t xml:space="preserve">  Circulation 2018; 138(4):356-63.</w:t>
                      </w:r>
                    </w:p>
                    <w:p w:rsidR="000D0762" w:rsidRPr="000D0762" w:rsidRDefault="000D0762" w:rsidP="000D0762">
                      <w:pPr>
                        <w:spacing w:after="0" w:line="240" w:lineRule="auto"/>
                        <w:rPr>
                          <w:rFonts w:cs="Arial"/>
                          <w:color w:val="000000"/>
                          <w:sz w:val="16"/>
                          <w:szCs w:val="16"/>
                          <w:shd w:val="clear" w:color="auto" w:fill="FFFFFF"/>
                        </w:rPr>
                      </w:pPr>
                      <w:proofErr w:type="gramStart"/>
                      <w:r w:rsidRPr="000D0762">
                        <w:rPr>
                          <w:rFonts w:cs="Arial"/>
                          <w:color w:val="000000"/>
                          <w:sz w:val="16"/>
                          <w:szCs w:val="16"/>
                          <w:shd w:val="clear" w:color="auto" w:fill="FFFFFF"/>
                          <w:vertAlign w:val="superscript"/>
                        </w:rPr>
                        <w:t>15</w:t>
                      </w:r>
                      <w:r w:rsidRPr="000D0762">
                        <w:rPr>
                          <w:rFonts w:cs="Arial"/>
                          <w:color w:val="000000"/>
                          <w:sz w:val="16"/>
                          <w:szCs w:val="16"/>
                          <w:shd w:val="clear" w:color="auto" w:fill="FFFFFF"/>
                        </w:rPr>
                        <w:t xml:space="preserve">Nishimura RA, Otto CM, </w:t>
                      </w:r>
                      <w:proofErr w:type="spellStart"/>
                      <w:r w:rsidRPr="000D0762">
                        <w:rPr>
                          <w:rFonts w:cs="Arial"/>
                          <w:color w:val="000000"/>
                          <w:sz w:val="16"/>
                          <w:szCs w:val="16"/>
                          <w:shd w:val="clear" w:color="auto" w:fill="FFFFFF"/>
                        </w:rPr>
                        <w:t>Bonow</w:t>
                      </w:r>
                      <w:proofErr w:type="spellEnd"/>
                      <w:r w:rsidRPr="000D0762">
                        <w:rPr>
                          <w:rFonts w:cs="Arial"/>
                          <w:color w:val="000000"/>
                          <w:sz w:val="16"/>
                          <w:szCs w:val="16"/>
                          <w:shd w:val="clear" w:color="auto" w:fill="FFFFFF"/>
                        </w:rPr>
                        <w:t xml:space="preserve"> RO et al.</w:t>
                      </w:r>
                      <w:proofErr w:type="gramEnd"/>
                      <w:r w:rsidRPr="000D0762">
                        <w:rPr>
                          <w:rFonts w:cs="Arial"/>
                          <w:color w:val="000000"/>
                          <w:sz w:val="16"/>
                          <w:szCs w:val="16"/>
                          <w:shd w:val="clear" w:color="auto" w:fill="FFFFFF"/>
                        </w:rPr>
                        <w:t xml:space="preserve">  2017 AHA/ACC Focused update of the 2014 AHA/ACC guideline for the management of patients with valvular heart disease: a report of the ACC/AHA task force on clinical practice guidelines.  J Am </w:t>
                      </w:r>
                      <w:proofErr w:type="spellStart"/>
                      <w:r w:rsidRPr="000D0762">
                        <w:rPr>
                          <w:rFonts w:cs="Arial"/>
                          <w:color w:val="000000"/>
                          <w:sz w:val="16"/>
                          <w:szCs w:val="16"/>
                          <w:shd w:val="clear" w:color="auto" w:fill="FFFFFF"/>
                        </w:rPr>
                        <w:t>Coll</w:t>
                      </w:r>
                      <w:proofErr w:type="spellEnd"/>
                      <w:r w:rsidRPr="000D0762">
                        <w:rPr>
                          <w:rFonts w:cs="Arial"/>
                          <w:color w:val="000000"/>
                          <w:sz w:val="16"/>
                          <w:szCs w:val="16"/>
                          <w:shd w:val="clear" w:color="auto" w:fill="FFFFFF"/>
                        </w:rPr>
                        <w:t xml:space="preserve"> </w:t>
                      </w:r>
                      <w:proofErr w:type="spellStart"/>
                      <w:r w:rsidRPr="000D0762">
                        <w:rPr>
                          <w:rFonts w:cs="Arial"/>
                          <w:color w:val="000000"/>
                          <w:sz w:val="16"/>
                          <w:szCs w:val="16"/>
                          <w:shd w:val="clear" w:color="auto" w:fill="FFFFFF"/>
                        </w:rPr>
                        <w:t>Cardiol</w:t>
                      </w:r>
                      <w:proofErr w:type="spellEnd"/>
                      <w:r w:rsidRPr="000D0762">
                        <w:rPr>
                          <w:rFonts w:cs="Arial"/>
                          <w:color w:val="000000"/>
                          <w:sz w:val="16"/>
                          <w:szCs w:val="16"/>
                          <w:shd w:val="clear" w:color="auto" w:fill="FFFFFF"/>
                        </w:rPr>
                        <w:t xml:space="preserve"> 2017</w:t>
                      </w:r>
                      <w:proofErr w:type="gramStart"/>
                      <w:r w:rsidRPr="000D0762">
                        <w:rPr>
                          <w:rFonts w:cs="Arial"/>
                          <w:color w:val="000000"/>
                          <w:sz w:val="16"/>
                          <w:szCs w:val="16"/>
                          <w:shd w:val="clear" w:color="auto" w:fill="FFFFFF"/>
                        </w:rPr>
                        <w:t>;70</w:t>
                      </w:r>
                      <w:proofErr w:type="gramEnd"/>
                      <w:r w:rsidRPr="000D0762">
                        <w:rPr>
                          <w:rFonts w:cs="Arial"/>
                          <w:color w:val="000000"/>
                          <w:sz w:val="16"/>
                          <w:szCs w:val="16"/>
                          <w:shd w:val="clear" w:color="auto" w:fill="FFFFFF"/>
                        </w:rPr>
                        <w:t>(2):252-89.</w:t>
                      </w:r>
                    </w:p>
                    <w:p w:rsidR="000D0762" w:rsidRPr="000D0762" w:rsidRDefault="000D0762" w:rsidP="000D0762">
                      <w:pPr>
                        <w:spacing w:after="0" w:line="240" w:lineRule="auto"/>
                        <w:rPr>
                          <w:rFonts w:cs="Arial"/>
                          <w:color w:val="000000"/>
                          <w:sz w:val="16"/>
                          <w:szCs w:val="16"/>
                          <w:shd w:val="clear" w:color="auto" w:fill="FFFFFF"/>
                        </w:rPr>
                      </w:pPr>
                      <w:r w:rsidRPr="000D0762">
                        <w:rPr>
                          <w:rFonts w:cs="Arial"/>
                          <w:color w:val="000000"/>
                          <w:sz w:val="16"/>
                          <w:szCs w:val="16"/>
                          <w:shd w:val="clear" w:color="auto" w:fill="FFFFFF"/>
                          <w:vertAlign w:val="superscript"/>
                        </w:rPr>
                        <w:t>16</w:t>
                      </w:r>
                      <w:r w:rsidRPr="000D0762">
                        <w:rPr>
                          <w:rFonts w:cs="Arial"/>
                          <w:color w:val="000000"/>
                          <w:sz w:val="16"/>
                          <w:szCs w:val="16"/>
                          <w:shd w:val="clear" w:color="auto" w:fill="FFFFFF"/>
                        </w:rPr>
                        <w:t xml:space="preserve">Sollecito TP, </w:t>
                      </w:r>
                      <w:proofErr w:type="spellStart"/>
                      <w:r w:rsidRPr="000D0762">
                        <w:rPr>
                          <w:rFonts w:cs="Arial"/>
                          <w:color w:val="000000"/>
                          <w:sz w:val="16"/>
                          <w:szCs w:val="16"/>
                          <w:shd w:val="clear" w:color="auto" w:fill="FFFFFF"/>
                        </w:rPr>
                        <w:t>Abt</w:t>
                      </w:r>
                      <w:proofErr w:type="spellEnd"/>
                      <w:r w:rsidRPr="000D0762">
                        <w:rPr>
                          <w:rFonts w:cs="Arial"/>
                          <w:color w:val="000000"/>
                          <w:sz w:val="16"/>
                          <w:szCs w:val="16"/>
                          <w:shd w:val="clear" w:color="auto" w:fill="FFFFFF"/>
                        </w:rPr>
                        <w:t xml:space="preserve"> E, Lockhart PB et al.  The use of prophylactic antibiotics prior to dental procedures in patients with prosthetic joints: Evidence-based clinical practice guideline for dental practitioners – a report of the American Dental Association Council on Scientific Affairs.  JADA 2015</w:t>
                      </w:r>
                      <w:proofErr w:type="gramStart"/>
                      <w:r w:rsidRPr="000D0762">
                        <w:rPr>
                          <w:rFonts w:cs="Arial"/>
                          <w:color w:val="000000"/>
                          <w:sz w:val="16"/>
                          <w:szCs w:val="16"/>
                          <w:shd w:val="clear" w:color="auto" w:fill="FFFFFF"/>
                        </w:rPr>
                        <w:t>;146</w:t>
                      </w:r>
                      <w:proofErr w:type="gramEnd"/>
                      <w:r w:rsidRPr="000D0762">
                        <w:rPr>
                          <w:rFonts w:cs="Arial"/>
                          <w:color w:val="000000"/>
                          <w:sz w:val="16"/>
                          <w:szCs w:val="16"/>
                          <w:shd w:val="clear" w:color="auto" w:fill="FFFFFF"/>
                        </w:rPr>
                        <w:t>(1):11-6 e8.</w:t>
                      </w:r>
                    </w:p>
                    <w:p w:rsidR="000D0762" w:rsidRPr="000D0762" w:rsidRDefault="000D0762" w:rsidP="000D0762">
                      <w:pPr>
                        <w:spacing w:after="0" w:line="240" w:lineRule="auto"/>
                        <w:rPr>
                          <w:rFonts w:cs="Arial"/>
                          <w:color w:val="000000"/>
                          <w:sz w:val="16"/>
                          <w:szCs w:val="16"/>
                          <w:shd w:val="clear" w:color="auto" w:fill="FFFFFF"/>
                        </w:rPr>
                      </w:pPr>
                      <w:proofErr w:type="gramStart"/>
                      <w:r w:rsidRPr="000D0762">
                        <w:rPr>
                          <w:rFonts w:cs="Arial"/>
                          <w:color w:val="000000"/>
                          <w:sz w:val="16"/>
                          <w:szCs w:val="16"/>
                          <w:shd w:val="clear" w:color="auto" w:fill="FFFFFF"/>
                          <w:vertAlign w:val="superscript"/>
                        </w:rPr>
                        <w:t>17</w:t>
                      </w:r>
                      <w:r w:rsidRPr="000D0762">
                        <w:rPr>
                          <w:rFonts w:cs="Arial"/>
                          <w:color w:val="000000"/>
                          <w:sz w:val="16"/>
                          <w:szCs w:val="16"/>
                          <w:shd w:val="clear" w:color="auto" w:fill="FFFFFF"/>
                        </w:rPr>
                        <w:t xml:space="preserve">Berbari EF, </w:t>
                      </w:r>
                      <w:proofErr w:type="spellStart"/>
                      <w:r w:rsidRPr="000D0762">
                        <w:rPr>
                          <w:rFonts w:cs="Arial"/>
                          <w:color w:val="000000"/>
                          <w:sz w:val="16"/>
                          <w:szCs w:val="16"/>
                          <w:shd w:val="clear" w:color="auto" w:fill="FFFFFF"/>
                        </w:rPr>
                        <w:t>Osmon</w:t>
                      </w:r>
                      <w:proofErr w:type="spellEnd"/>
                      <w:r w:rsidRPr="000D0762">
                        <w:rPr>
                          <w:rFonts w:cs="Arial"/>
                          <w:color w:val="000000"/>
                          <w:sz w:val="16"/>
                          <w:szCs w:val="16"/>
                          <w:shd w:val="clear" w:color="auto" w:fill="FFFFFF"/>
                        </w:rPr>
                        <w:t xml:space="preserve"> DR, </w:t>
                      </w:r>
                      <w:proofErr w:type="spellStart"/>
                      <w:r w:rsidRPr="000D0762">
                        <w:rPr>
                          <w:rFonts w:cs="Arial"/>
                          <w:color w:val="000000"/>
                          <w:sz w:val="16"/>
                          <w:szCs w:val="16"/>
                          <w:shd w:val="clear" w:color="auto" w:fill="FFFFFF"/>
                        </w:rPr>
                        <w:t>Carr</w:t>
                      </w:r>
                      <w:proofErr w:type="spellEnd"/>
                      <w:r w:rsidRPr="000D0762">
                        <w:rPr>
                          <w:rFonts w:cs="Arial"/>
                          <w:color w:val="000000"/>
                          <w:sz w:val="16"/>
                          <w:szCs w:val="16"/>
                          <w:shd w:val="clear" w:color="auto" w:fill="FFFFFF"/>
                        </w:rPr>
                        <w:t xml:space="preserve"> A et al.</w:t>
                      </w:r>
                      <w:proofErr w:type="gramEnd"/>
                      <w:r w:rsidRPr="000D0762">
                        <w:rPr>
                          <w:rFonts w:cs="Arial"/>
                          <w:color w:val="000000"/>
                          <w:sz w:val="16"/>
                          <w:szCs w:val="16"/>
                          <w:shd w:val="clear" w:color="auto" w:fill="FFFFFF"/>
                        </w:rPr>
                        <w:t xml:space="preserve">  Dental procedures as risk factors for prosthetic hip or knee infection: a hospital-based prospective case-control study.  CID 2010; 50(1):8-16.</w:t>
                      </w:r>
                    </w:p>
                    <w:p w:rsidR="000D0762" w:rsidRPr="000D0762" w:rsidRDefault="000D0762" w:rsidP="000D0762">
                      <w:pPr>
                        <w:spacing w:after="0" w:line="240" w:lineRule="auto"/>
                        <w:rPr>
                          <w:rFonts w:cs="Arial"/>
                          <w:color w:val="000000"/>
                          <w:sz w:val="16"/>
                          <w:szCs w:val="16"/>
                          <w:shd w:val="clear" w:color="auto" w:fill="FFFFFF"/>
                        </w:rPr>
                      </w:pPr>
                      <w:proofErr w:type="gramStart"/>
                      <w:r w:rsidRPr="000D0762">
                        <w:rPr>
                          <w:rFonts w:cs="Arial"/>
                          <w:color w:val="000000"/>
                          <w:sz w:val="16"/>
                          <w:szCs w:val="16"/>
                          <w:shd w:val="clear" w:color="auto" w:fill="FFFFFF"/>
                          <w:vertAlign w:val="superscript"/>
                        </w:rPr>
                        <w:t>18</w:t>
                      </w:r>
                      <w:r w:rsidRPr="000D0762">
                        <w:rPr>
                          <w:rFonts w:cs="Arial"/>
                          <w:color w:val="000000"/>
                          <w:sz w:val="16"/>
                          <w:szCs w:val="16"/>
                          <w:shd w:val="clear" w:color="auto" w:fill="FFFFFF"/>
                        </w:rPr>
                        <w:t>Skaar DD, O’Connor H, Hodges JS et al.</w:t>
                      </w:r>
                      <w:proofErr w:type="gramEnd"/>
                      <w:r w:rsidRPr="000D0762">
                        <w:rPr>
                          <w:rFonts w:cs="Arial"/>
                          <w:color w:val="000000"/>
                          <w:sz w:val="16"/>
                          <w:szCs w:val="16"/>
                          <w:shd w:val="clear" w:color="auto" w:fill="FFFFFF"/>
                        </w:rPr>
                        <w:t xml:space="preserve">  Dental procedures and subsequent prosthetic joint infections: findings from the </w:t>
                      </w:r>
                      <w:proofErr w:type="spellStart"/>
                      <w:r w:rsidRPr="000D0762">
                        <w:rPr>
                          <w:rFonts w:cs="Arial"/>
                          <w:color w:val="000000"/>
                          <w:sz w:val="16"/>
                          <w:szCs w:val="16"/>
                          <w:shd w:val="clear" w:color="auto" w:fill="FFFFFF"/>
                        </w:rPr>
                        <w:t>medicare</w:t>
                      </w:r>
                      <w:proofErr w:type="spellEnd"/>
                      <w:r w:rsidRPr="000D0762">
                        <w:rPr>
                          <w:rFonts w:cs="Arial"/>
                          <w:color w:val="000000"/>
                          <w:sz w:val="16"/>
                          <w:szCs w:val="16"/>
                          <w:shd w:val="clear" w:color="auto" w:fill="FFFFFF"/>
                        </w:rPr>
                        <w:t xml:space="preserve"> current beneficiary </w:t>
                      </w:r>
                      <w:proofErr w:type="spellStart"/>
                      <w:r w:rsidRPr="000D0762">
                        <w:rPr>
                          <w:rFonts w:cs="Arial"/>
                          <w:color w:val="000000"/>
                          <w:sz w:val="16"/>
                          <w:szCs w:val="16"/>
                          <w:shd w:val="clear" w:color="auto" w:fill="FFFFFF"/>
                        </w:rPr>
                        <w:t>survey.JADA</w:t>
                      </w:r>
                      <w:proofErr w:type="spellEnd"/>
                      <w:r w:rsidRPr="000D0762">
                        <w:rPr>
                          <w:rFonts w:cs="Arial"/>
                          <w:color w:val="000000"/>
                          <w:sz w:val="16"/>
                          <w:szCs w:val="16"/>
                          <w:shd w:val="clear" w:color="auto" w:fill="FFFFFF"/>
                        </w:rPr>
                        <w:t xml:space="preserve"> 2011</w:t>
                      </w:r>
                      <w:proofErr w:type="gramStart"/>
                      <w:r w:rsidRPr="000D0762">
                        <w:rPr>
                          <w:rFonts w:cs="Arial"/>
                          <w:color w:val="000000"/>
                          <w:sz w:val="16"/>
                          <w:szCs w:val="16"/>
                          <w:shd w:val="clear" w:color="auto" w:fill="FFFFFF"/>
                        </w:rPr>
                        <w:t>;142</w:t>
                      </w:r>
                      <w:proofErr w:type="gramEnd"/>
                      <w:r w:rsidRPr="000D0762">
                        <w:rPr>
                          <w:rFonts w:cs="Arial"/>
                          <w:color w:val="000000"/>
                          <w:sz w:val="16"/>
                          <w:szCs w:val="16"/>
                          <w:shd w:val="clear" w:color="auto" w:fill="FFFFFF"/>
                        </w:rPr>
                        <w:t>(12):1343-51.</w:t>
                      </w:r>
                    </w:p>
                    <w:p w:rsidR="000D0762" w:rsidRPr="000D0762" w:rsidRDefault="000D0762" w:rsidP="000D0762">
                      <w:pPr>
                        <w:spacing w:after="0" w:line="240" w:lineRule="auto"/>
                        <w:rPr>
                          <w:rFonts w:cs="Arial"/>
                          <w:color w:val="000000"/>
                          <w:sz w:val="16"/>
                          <w:szCs w:val="16"/>
                          <w:shd w:val="clear" w:color="auto" w:fill="FFFFFF"/>
                        </w:rPr>
                      </w:pPr>
                      <w:r w:rsidRPr="000D0762">
                        <w:rPr>
                          <w:rFonts w:cs="Arial"/>
                          <w:color w:val="000000"/>
                          <w:sz w:val="16"/>
                          <w:szCs w:val="16"/>
                          <w:shd w:val="clear" w:color="auto" w:fill="FFFFFF"/>
                          <w:vertAlign w:val="superscript"/>
                        </w:rPr>
                        <w:t>19</w:t>
                      </w:r>
                      <w:r w:rsidRPr="000D0762">
                        <w:rPr>
                          <w:rFonts w:cs="Arial"/>
                          <w:color w:val="000000"/>
                          <w:sz w:val="16"/>
                          <w:szCs w:val="16"/>
                          <w:shd w:val="clear" w:color="auto" w:fill="FFFFFF"/>
                        </w:rPr>
                        <w:t xml:space="preserve">Swan J, </w:t>
                      </w:r>
                      <w:proofErr w:type="spellStart"/>
                      <w:r w:rsidRPr="000D0762">
                        <w:rPr>
                          <w:rFonts w:cs="Arial"/>
                          <w:color w:val="000000"/>
                          <w:sz w:val="16"/>
                          <w:szCs w:val="16"/>
                          <w:shd w:val="clear" w:color="auto" w:fill="FFFFFF"/>
                        </w:rPr>
                        <w:t>Dowsey</w:t>
                      </w:r>
                      <w:proofErr w:type="spellEnd"/>
                      <w:r w:rsidRPr="000D0762">
                        <w:rPr>
                          <w:rFonts w:cs="Arial"/>
                          <w:color w:val="000000"/>
                          <w:sz w:val="16"/>
                          <w:szCs w:val="16"/>
                          <w:shd w:val="clear" w:color="auto" w:fill="FFFFFF"/>
                        </w:rPr>
                        <w:t xml:space="preserve"> M, </w:t>
                      </w:r>
                      <w:proofErr w:type="spellStart"/>
                      <w:r w:rsidRPr="000D0762">
                        <w:rPr>
                          <w:rFonts w:cs="Arial"/>
                          <w:color w:val="000000"/>
                          <w:sz w:val="16"/>
                          <w:szCs w:val="16"/>
                          <w:shd w:val="clear" w:color="auto" w:fill="FFFFFF"/>
                        </w:rPr>
                        <w:t>Babazadeh</w:t>
                      </w:r>
                      <w:proofErr w:type="spellEnd"/>
                      <w:r w:rsidRPr="000D0762">
                        <w:rPr>
                          <w:rFonts w:cs="Arial"/>
                          <w:color w:val="000000"/>
                          <w:sz w:val="16"/>
                          <w:szCs w:val="16"/>
                          <w:shd w:val="clear" w:color="auto" w:fill="FFFFFF"/>
                        </w:rPr>
                        <w:t xml:space="preserve"> S et al.  </w:t>
                      </w:r>
                      <w:proofErr w:type="gramStart"/>
                      <w:r w:rsidRPr="000D0762">
                        <w:rPr>
                          <w:rFonts w:cs="Arial"/>
                          <w:color w:val="000000"/>
                          <w:sz w:val="16"/>
                          <w:szCs w:val="16"/>
                          <w:shd w:val="clear" w:color="auto" w:fill="FFFFFF"/>
                        </w:rPr>
                        <w:t xml:space="preserve">Significance of sentinel infective events in </w:t>
                      </w:r>
                      <w:proofErr w:type="spellStart"/>
                      <w:r w:rsidRPr="000D0762">
                        <w:rPr>
                          <w:rFonts w:cs="Arial"/>
                          <w:color w:val="000000"/>
                          <w:sz w:val="16"/>
                          <w:szCs w:val="16"/>
                          <w:shd w:val="clear" w:color="auto" w:fill="FFFFFF"/>
                        </w:rPr>
                        <w:t>haematogenous</w:t>
                      </w:r>
                      <w:proofErr w:type="spellEnd"/>
                      <w:r w:rsidRPr="000D0762">
                        <w:rPr>
                          <w:rFonts w:cs="Arial"/>
                          <w:color w:val="000000"/>
                          <w:sz w:val="16"/>
                          <w:szCs w:val="16"/>
                          <w:shd w:val="clear" w:color="auto" w:fill="FFFFFF"/>
                        </w:rPr>
                        <w:t xml:space="preserve"> prosthetic knee infections.</w:t>
                      </w:r>
                      <w:proofErr w:type="gramEnd"/>
                      <w:r w:rsidRPr="000D0762">
                        <w:rPr>
                          <w:rFonts w:cs="Arial"/>
                          <w:color w:val="000000"/>
                          <w:sz w:val="16"/>
                          <w:szCs w:val="16"/>
                          <w:shd w:val="clear" w:color="auto" w:fill="FFFFFF"/>
                        </w:rPr>
                        <w:t xml:space="preserve">  ANZ J </w:t>
                      </w:r>
                      <w:proofErr w:type="spellStart"/>
                      <w:r w:rsidRPr="000D0762">
                        <w:rPr>
                          <w:rFonts w:cs="Arial"/>
                          <w:color w:val="000000"/>
                          <w:sz w:val="16"/>
                          <w:szCs w:val="16"/>
                          <w:shd w:val="clear" w:color="auto" w:fill="FFFFFF"/>
                        </w:rPr>
                        <w:t>Surg</w:t>
                      </w:r>
                      <w:proofErr w:type="spellEnd"/>
                      <w:r w:rsidRPr="000D0762">
                        <w:rPr>
                          <w:rFonts w:cs="Arial"/>
                          <w:color w:val="000000"/>
                          <w:sz w:val="16"/>
                          <w:szCs w:val="16"/>
                          <w:shd w:val="clear" w:color="auto" w:fill="FFFFFF"/>
                        </w:rPr>
                        <w:t xml:space="preserve"> 2011</w:t>
                      </w:r>
                      <w:proofErr w:type="gramStart"/>
                      <w:r w:rsidRPr="000D0762">
                        <w:rPr>
                          <w:rFonts w:cs="Arial"/>
                          <w:color w:val="000000"/>
                          <w:sz w:val="16"/>
                          <w:szCs w:val="16"/>
                          <w:shd w:val="clear" w:color="auto" w:fill="FFFFFF"/>
                        </w:rPr>
                        <w:t>;81</w:t>
                      </w:r>
                      <w:proofErr w:type="gramEnd"/>
                      <w:r w:rsidRPr="000D0762">
                        <w:rPr>
                          <w:rFonts w:cs="Arial"/>
                          <w:color w:val="000000"/>
                          <w:sz w:val="16"/>
                          <w:szCs w:val="16"/>
                          <w:shd w:val="clear" w:color="auto" w:fill="FFFFFF"/>
                        </w:rPr>
                        <w:t>(1-2):40-5.</w:t>
                      </w:r>
                    </w:p>
                    <w:p w:rsidR="000D0762" w:rsidRPr="000D0762" w:rsidRDefault="000D0762" w:rsidP="000D0762">
                      <w:pPr>
                        <w:spacing w:after="0" w:line="240" w:lineRule="auto"/>
                        <w:rPr>
                          <w:rFonts w:cs="Arial"/>
                          <w:sz w:val="16"/>
                          <w:szCs w:val="16"/>
                          <w:shd w:val="clear" w:color="auto" w:fill="FFFFFF"/>
                        </w:rPr>
                      </w:pPr>
                      <w:proofErr w:type="gramStart"/>
                      <w:r w:rsidRPr="000D0762">
                        <w:rPr>
                          <w:rFonts w:cs="Arial"/>
                          <w:sz w:val="16"/>
                          <w:szCs w:val="16"/>
                          <w:shd w:val="clear" w:color="auto" w:fill="FFFFFF"/>
                          <w:vertAlign w:val="superscript"/>
                        </w:rPr>
                        <w:t>20</w:t>
                      </w:r>
                      <w:r w:rsidRPr="000D0762">
                        <w:rPr>
                          <w:rFonts w:cs="Arial"/>
                          <w:sz w:val="16"/>
                          <w:szCs w:val="16"/>
                          <w:shd w:val="clear" w:color="auto" w:fill="FFFFFF"/>
                        </w:rPr>
                        <w:t>American Association of Orthopedic Surgeons.</w:t>
                      </w:r>
                      <w:proofErr w:type="gramEnd"/>
                      <w:r w:rsidRPr="000D0762">
                        <w:rPr>
                          <w:rFonts w:cs="Arial"/>
                          <w:sz w:val="16"/>
                          <w:szCs w:val="16"/>
                          <w:shd w:val="clear" w:color="auto" w:fill="FFFFFF"/>
                        </w:rPr>
                        <w:t xml:space="preserve">  </w:t>
                      </w:r>
                      <w:proofErr w:type="gramStart"/>
                      <w:r w:rsidRPr="000D0762">
                        <w:rPr>
                          <w:rFonts w:cs="Arial"/>
                          <w:sz w:val="16"/>
                          <w:szCs w:val="16"/>
                          <w:shd w:val="clear" w:color="auto" w:fill="FFFFFF"/>
                        </w:rPr>
                        <w:t xml:space="preserve">Appropriate Use Criteria for the Management of Patient with </w:t>
                      </w:r>
                      <w:proofErr w:type="spellStart"/>
                      <w:r w:rsidRPr="000D0762">
                        <w:rPr>
                          <w:rFonts w:cs="Arial"/>
                          <w:sz w:val="16"/>
                          <w:szCs w:val="16"/>
                          <w:shd w:val="clear" w:color="auto" w:fill="FFFFFF"/>
                        </w:rPr>
                        <w:t>Orthopaedic</w:t>
                      </w:r>
                      <w:proofErr w:type="spellEnd"/>
                      <w:r w:rsidRPr="000D0762">
                        <w:rPr>
                          <w:rFonts w:cs="Arial"/>
                          <w:sz w:val="16"/>
                          <w:szCs w:val="16"/>
                          <w:shd w:val="clear" w:color="auto" w:fill="FFFFFF"/>
                        </w:rPr>
                        <w:t xml:space="preserve"> Implants Undergoing Dental Procedures.</w:t>
                      </w:r>
                      <w:proofErr w:type="gramEnd"/>
                    </w:p>
                    <w:p w:rsidR="000D0762" w:rsidRPr="000D0762" w:rsidRDefault="000D0762" w:rsidP="000D0762">
                      <w:pPr>
                        <w:spacing w:after="0" w:line="240" w:lineRule="auto"/>
                        <w:rPr>
                          <w:sz w:val="16"/>
                          <w:szCs w:val="16"/>
                        </w:rPr>
                      </w:pPr>
                      <w:r w:rsidRPr="000D0762">
                        <w:rPr>
                          <w:sz w:val="16"/>
                          <w:szCs w:val="16"/>
                        </w:rPr>
                        <w:t xml:space="preserve">Available at: </w:t>
                      </w:r>
                      <w:hyperlink r:id="rId20" w:history="1">
                        <w:r w:rsidRPr="000D0762">
                          <w:rPr>
                            <w:rStyle w:val="Hyperlink"/>
                            <w:color w:val="auto"/>
                            <w:sz w:val="16"/>
                            <w:szCs w:val="16"/>
                            <w:u w:val="none"/>
                          </w:rPr>
                          <w:t>https://www.aaos.org/uploadedFiles/PreProduction/Quality/AUCs_and_Performance _Measures/appropriate_use/auc-patients-with-orthopaedic-implants-dental-procedures.pdf</w:t>
                        </w:r>
                      </w:hyperlink>
                      <w:r w:rsidRPr="000D0762">
                        <w:rPr>
                          <w:sz w:val="16"/>
                          <w:szCs w:val="16"/>
                        </w:rPr>
                        <w:t>.</w:t>
                      </w:r>
                    </w:p>
                    <w:p w:rsidR="000D0762" w:rsidRDefault="000D0762"/>
                  </w:txbxContent>
                </v:textbox>
              </v:shape>
            </w:pict>
          </mc:Fallback>
        </mc:AlternateContent>
      </w:r>
    </w:p>
    <w:p w:rsidR="00C517C7" w:rsidRDefault="00CF5585" w:rsidP="00C517C7">
      <w:r>
        <w:rPr>
          <w:noProof/>
        </w:rPr>
        <mc:AlternateContent>
          <mc:Choice Requires="wps">
            <w:drawing>
              <wp:anchor distT="0" distB="0" distL="114300" distR="114300" simplePos="0" relativeHeight="251679744" behindDoc="0" locked="0" layoutInCell="1" allowOverlap="1" wp14:anchorId="098B5DCA" wp14:editId="4299C9E0">
                <wp:simplePos x="0" y="0"/>
                <wp:positionH relativeFrom="column">
                  <wp:posOffset>4836795</wp:posOffset>
                </wp:positionH>
                <wp:positionV relativeFrom="paragraph">
                  <wp:posOffset>245745</wp:posOffset>
                </wp:positionV>
                <wp:extent cx="4645660" cy="6334125"/>
                <wp:effectExtent l="0" t="0" r="2159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645660" cy="6334125"/>
                        </a:xfrm>
                        <a:prstGeom prst="rect">
                          <a:avLst/>
                        </a:prstGeom>
                        <a:solidFill>
                          <a:srgbClr val="FFFFFF"/>
                        </a:solidFill>
                        <a:ln w="9525">
                          <a:solidFill>
                            <a:schemeClr val="bg1"/>
                          </a:solidFill>
                          <a:miter lim="800000"/>
                          <a:headEnd/>
                          <a:tailEnd/>
                        </a:ln>
                      </wps:spPr>
                      <wps:txbx>
                        <w:txbxContent>
                          <w:p w:rsidR="006D640D" w:rsidRDefault="006D640D" w:rsidP="002B39D4">
                            <w:pPr>
                              <w:jc w:val="center"/>
                            </w:pPr>
                          </w:p>
                          <w:p w:rsidR="00CF5585" w:rsidRDefault="00CF5585" w:rsidP="002B39D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80.85pt;margin-top:19.35pt;width:365.8pt;height:498.7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" strokecolor="white [3212]">
                <v:textbox>
                  <w:txbxContent>
                    <w:p w:rsidR="006D640D" w:rsidRDefault="006D640D" w:rsidP="002B39D4">
                      <w:pPr>
                        <w:jc w:val="center"/>
                      </w:pPr>
                    </w:p>
                    <w:p w:rsidR="00CF5585" w:rsidRDefault="00CF5585" w:rsidP="002B39D4">
                      <w:pPr>
                        <w:jc w:val="center"/>
                      </w:pPr>
                    </w:p>
                  </w:txbxContent>
                </v:textbox>
              </v:shape>
            </w:pict>
          </mc:Fallback>
        </mc:AlternateContent>
      </w:r>
    </w:p>
    <w:p w:rsidR="000D0762" w:rsidRDefault="000D0762" w:rsidP="00C517C7"/>
    <w:p w:rsidR="000D0762" w:rsidRDefault="000D0762" w:rsidP="00C517C7"/>
    <w:p w:rsidR="000D0762" w:rsidRDefault="000D0762" w:rsidP="00C517C7"/>
    <w:p w:rsidR="000D0762" w:rsidRDefault="000D0762" w:rsidP="00C517C7"/>
    <w:p w:rsidR="000D0762" w:rsidRDefault="000D0762" w:rsidP="00C517C7"/>
    <w:p w:rsidR="000D0762" w:rsidRDefault="000D0762" w:rsidP="00C517C7"/>
    <w:p w:rsidR="000D0762" w:rsidRDefault="000D0762" w:rsidP="00C517C7"/>
    <w:p w:rsidR="000D0762" w:rsidRDefault="000D0762" w:rsidP="00C517C7"/>
    <w:p w:rsidR="000D0762" w:rsidRDefault="000D0762" w:rsidP="00C517C7"/>
    <w:p w:rsidR="000D0762" w:rsidRDefault="000D0762" w:rsidP="00C517C7"/>
    <w:p w:rsidR="000D0762" w:rsidRDefault="000D0762" w:rsidP="00C517C7"/>
    <w:p w:rsidR="000D0762" w:rsidRDefault="000D0762" w:rsidP="00C517C7"/>
    <w:p w:rsidR="000D0762" w:rsidRDefault="000D0762" w:rsidP="00C517C7"/>
    <w:p w:rsidR="000D0762" w:rsidRDefault="000D0762" w:rsidP="00C517C7"/>
    <w:p w:rsidR="000D0762" w:rsidRDefault="000D0762" w:rsidP="00C517C7"/>
    <w:p w:rsidR="000D0762" w:rsidRDefault="000D0762" w:rsidP="00C517C7"/>
    <w:p w:rsidR="000D0762" w:rsidRDefault="000D0762" w:rsidP="00C517C7"/>
    <w:p w:rsidR="000D0762" w:rsidRDefault="000D0762" w:rsidP="00C517C7"/>
    <w:p w:rsidR="000D0762" w:rsidRDefault="000D0762" w:rsidP="00C517C7"/>
    <w:p w:rsidR="000D0762" w:rsidRDefault="000D0762" w:rsidP="00C517C7"/>
    <w:p w:rsidR="000D0762" w:rsidRDefault="000D0762" w:rsidP="00C517C7"/>
    <w:p w:rsidR="00AD27F3" w:rsidRDefault="00AD27F3" w:rsidP="00C517C7"/>
    <w:p w:rsidR="00C058ED" w:rsidRDefault="00C058ED" w:rsidP="00C517C7"/>
    <w:p w:rsidR="000D0762" w:rsidRDefault="00054DF3" w:rsidP="00C517C7">
      <w:r>
        <w:rPr>
          <w:noProof/>
        </w:rPr>
        <mc:AlternateContent>
          <mc:Choice Requires="wps">
            <w:drawing>
              <wp:anchor distT="0" distB="0" distL="114300" distR="114300" simplePos="0" relativeHeight="251683840" behindDoc="0" locked="0" layoutInCell="1" allowOverlap="1" wp14:anchorId="45878110" wp14:editId="7A6F1DC6">
                <wp:simplePos x="0" y="0"/>
                <wp:positionH relativeFrom="column">
                  <wp:align>center</wp:align>
                </wp:positionH>
                <wp:positionV relativeFrom="paragraph">
                  <wp:posOffset>0</wp:posOffset>
                </wp:positionV>
                <wp:extent cx="4437214" cy="6027089"/>
                <wp:effectExtent l="0" t="0" r="2095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437214" cy="6027089"/>
                        </a:xfrm>
                        <a:prstGeom prst="rect">
                          <a:avLst/>
                        </a:prstGeom>
                        <a:solidFill>
                          <a:srgbClr val="FFFFFF"/>
                        </a:solidFill>
                        <a:ln w="9525">
                          <a:solidFill>
                            <a:schemeClr val="bg1"/>
                          </a:solidFill>
                          <a:miter lim="800000"/>
                          <a:headEnd/>
                          <a:tailEnd/>
                        </a:ln>
                      </wps:spPr>
                      <wps:txbx>
                        <w:txbxContent>
                          <w:p w:rsidR="00054DF3" w:rsidRDefault="00FA35E0">
                            <w:r w:rsidRPr="002D6D1D">
                              <w:rPr>
                                <w:noProof/>
                              </w:rPr>
                              <w:drawing>
                                <wp:inline distT="0" distB="0" distL="0" distR="0" wp14:anchorId="5C1CD7E0" wp14:editId="59929ECA">
                                  <wp:extent cx="4244975" cy="2893706"/>
                                  <wp:effectExtent l="0" t="0" r="317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a.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44975" cy="2893706"/>
                                          </a:xfrm>
                                          <a:prstGeom prst="rect">
                                            <a:avLst/>
                                          </a:prstGeom>
                                        </pic:spPr>
                                      </pic:pic>
                                    </a:graphicData>
                                  </a:graphic>
                                </wp:inline>
                              </w:drawing>
                            </w:r>
                          </w:p>
                          <w:p w:rsidR="00FA35E0" w:rsidRDefault="00FA35E0">
                            <w:r>
                              <w:rPr>
                                <w:noProof/>
                              </w:rPr>
                              <w:drawing>
                                <wp:inline distT="0" distB="0" distL="0" distR="0" wp14:anchorId="57FA534F" wp14:editId="395AE626">
                                  <wp:extent cx="4244975" cy="2807353"/>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b.PNG"/>
                                          <pic:cNvPicPr/>
                                        </pic:nvPicPr>
                                        <pic:blipFill>
                                          <a:blip r:embed="rId22">
                                            <a:extLst>
                                              <a:ext uri="{28A0092B-C50C-407E-A947-70E740481C1C}">
                                                <a14:useLocalDpi xmlns:a14="http://schemas.microsoft.com/office/drawing/2010/main" val="0"/>
                                              </a:ext>
                                            </a:extLst>
                                          </a:blip>
                                          <a:stretch>
                                            <a:fillRect/>
                                          </a:stretch>
                                        </pic:blipFill>
                                        <pic:spPr>
                                          <a:xfrm>
                                            <a:off x="0" y="0"/>
                                            <a:ext cx="4244975" cy="2807353"/>
                                          </a:xfrm>
                                          <a:prstGeom prst="rect">
                                            <a:avLst/>
                                          </a:prstGeom>
                                        </pic:spPr>
                                      </pic:pic>
                                    </a:graphicData>
                                  </a:graphic>
                                </wp:inline>
                              </w:drawing>
                            </w:r>
                          </w:p>
                          <w:p w:rsidR="00054DF3" w:rsidRDefault="00054DF3"/>
                          <w:p w:rsidR="00054DF3" w:rsidRDefault="00054D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0;width:349.4pt;height:474.55pt;rotation:180;z-index:2516838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" strokecolor="white [3212]">
                <v:textbox>
                  <w:txbxContent>
                    <w:p w:rsidR="00054DF3" w:rsidRDefault="00FA35E0">
                      <w:r w:rsidRPr="002D6D1D">
                        <w:rPr>
                          <w:noProof/>
                        </w:rPr>
                        <w:drawing>
                          <wp:inline distT="0" distB="0" distL="0" distR="0" wp14:anchorId="5C1CD7E0" wp14:editId="59929ECA">
                            <wp:extent cx="4244975" cy="2893706"/>
                            <wp:effectExtent l="0" t="0" r="317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a.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44975" cy="2893706"/>
                                    </a:xfrm>
                                    <a:prstGeom prst="rect">
                                      <a:avLst/>
                                    </a:prstGeom>
                                  </pic:spPr>
                                </pic:pic>
                              </a:graphicData>
                            </a:graphic>
                          </wp:inline>
                        </w:drawing>
                      </w:r>
                    </w:p>
                    <w:p w:rsidR="00FA35E0" w:rsidRDefault="00FA35E0">
                      <w:r>
                        <w:rPr>
                          <w:noProof/>
                        </w:rPr>
                        <w:drawing>
                          <wp:inline distT="0" distB="0" distL="0" distR="0" wp14:anchorId="57FA534F" wp14:editId="395AE626">
                            <wp:extent cx="4244975" cy="2807353"/>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b.PNG"/>
                                    <pic:cNvPicPr/>
                                  </pic:nvPicPr>
                                  <pic:blipFill>
                                    <a:blip r:embed="rId24">
                                      <a:extLst>
                                        <a:ext uri="{28A0092B-C50C-407E-A947-70E740481C1C}">
                                          <a14:useLocalDpi xmlns:a14="http://schemas.microsoft.com/office/drawing/2010/main" val="0"/>
                                        </a:ext>
                                      </a:extLst>
                                    </a:blip>
                                    <a:stretch>
                                      <a:fillRect/>
                                    </a:stretch>
                                  </pic:blipFill>
                                  <pic:spPr>
                                    <a:xfrm>
                                      <a:off x="0" y="0"/>
                                      <a:ext cx="4244975" cy="2807353"/>
                                    </a:xfrm>
                                    <a:prstGeom prst="rect">
                                      <a:avLst/>
                                    </a:prstGeom>
                                  </pic:spPr>
                                </pic:pic>
                              </a:graphicData>
                            </a:graphic>
                          </wp:inline>
                        </w:drawing>
                      </w:r>
                    </w:p>
                    <w:p w:rsidR="00054DF3" w:rsidRDefault="00054DF3"/>
                    <w:p w:rsidR="00054DF3" w:rsidRDefault="00054DF3"/>
                  </w:txbxContent>
                </v:textbox>
              </v:shape>
            </w:pict>
          </mc:Fallback>
        </mc:AlternateContent>
      </w:r>
      <w:r w:rsidR="00AD27F3">
        <w:rPr>
          <w:noProof/>
        </w:rPr>
        <mc:AlternateContent>
          <mc:Choice Requires="wps">
            <w:drawing>
              <wp:anchor distT="0" distB="0" distL="114300" distR="114300" simplePos="0" relativeHeight="251681792" behindDoc="0" locked="0" layoutInCell="1" allowOverlap="1" wp14:anchorId="2B627D44" wp14:editId="7C6C6261">
                <wp:simplePos x="0" y="0"/>
                <wp:positionH relativeFrom="column">
                  <wp:align>center</wp:align>
                </wp:positionH>
                <wp:positionV relativeFrom="paragraph">
                  <wp:posOffset>0</wp:posOffset>
                </wp:positionV>
                <wp:extent cx="4690662" cy="6623437"/>
                <wp:effectExtent l="0" t="0" r="1524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690662" cy="6623437"/>
                        </a:xfrm>
                        <a:prstGeom prst="rect">
                          <a:avLst/>
                        </a:prstGeom>
                        <a:solidFill>
                          <a:srgbClr val="FFFFFF"/>
                        </a:solidFill>
                        <a:ln w="9525">
                          <a:solidFill>
                            <a:schemeClr val="bg1"/>
                          </a:solidFill>
                          <a:miter lim="800000"/>
                          <a:headEnd/>
                          <a:tailEnd/>
                        </a:ln>
                      </wps:spPr>
                      <wps:txbx>
                        <w:txbxContent>
                          <w:p w:rsidR="00AD27F3" w:rsidRDefault="00AD27F3" w:rsidP="00AD27F3"/>
                          <w:p w:rsidR="00AD27F3" w:rsidRDefault="00AD27F3" w:rsidP="00AD2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0;margin-top:0;width:369.35pt;height:521.55pt;rotation:180;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" strokecolor="white [3212]">
                <v:textbox>
                  <w:txbxContent>
                    <w:p w:rsidR="00AD27F3" w:rsidRDefault="00AD27F3" w:rsidP="00AD27F3"/>
                    <w:p w:rsidR="00AD27F3" w:rsidRDefault="00AD27F3" w:rsidP="00AD27F3"/>
                  </w:txbxContent>
                </v:textbox>
              </v:shape>
            </w:pict>
          </mc:Fallback>
        </mc:AlternateContent>
      </w:r>
    </w:p>
    <w:sectPr w:rsidR="000D0762" w:rsidSect="00057708">
      <w:pgSz w:w="15840" w:h="12240" w:orient="landscape"/>
      <w:pgMar w:top="288" w:right="288" w:bottom="288" w:left="28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3229"/>
    <w:multiLevelType w:val="hybridMultilevel"/>
    <w:tmpl w:val="26062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1C31B7"/>
    <w:multiLevelType w:val="hybridMultilevel"/>
    <w:tmpl w:val="0BDE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EF1385"/>
    <w:multiLevelType w:val="hybridMultilevel"/>
    <w:tmpl w:val="FD04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D7D20"/>
    <w:multiLevelType w:val="hybridMultilevel"/>
    <w:tmpl w:val="EB0C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3B33D2"/>
    <w:multiLevelType w:val="hybridMultilevel"/>
    <w:tmpl w:val="59989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ACF7357"/>
    <w:multiLevelType w:val="hybridMultilevel"/>
    <w:tmpl w:val="8DE2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BC1B2E"/>
    <w:multiLevelType w:val="hybridMultilevel"/>
    <w:tmpl w:val="F42CC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2EB1C73"/>
    <w:multiLevelType w:val="hybridMultilevel"/>
    <w:tmpl w:val="2582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E2405E"/>
    <w:multiLevelType w:val="hybridMultilevel"/>
    <w:tmpl w:val="4666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456D59"/>
    <w:multiLevelType w:val="hybridMultilevel"/>
    <w:tmpl w:val="96D6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3528E7"/>
    <w:multiLevelType w:val="hybridMultilevel"/>
    <w:tmpl w:val="CC34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0220AB"/>
    <w:multiLevelType w:val="hybridMultilevel"/>
    <w:tmpl w:val="D3F4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4E4E65"/>
    <w:multiLevelType w:val="hybridMultilevel"/>
    <w:tmpl w:val="A072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585E9C"/>
    <w:multiLevelType w:val="hybridMultilevel"/>
    <w:tmpl w:val="DB9A39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4"/>
  </w:num>
  <w:num w:numId="4">
    <w:abstractNumId w:val="0"/>
  </w:num>
  <w:num w:numId="5">
    <w:abstractNumId w:val="6"/>
  </w:num>
  <w:num w:numId="6">
    <w:abstractNumId w:val="12"/>
  </w:num>
  <w:num w:numId="7">
    <w:abstractNumId w:val="10"/>
  </w:num>
  <w:num w:numId="8">
    <w:abstractNumId w:val="3"/>
  </w:num>
  <w:num w:numId="9">
    <w:abstractNumId w:val="1"/>
  </w:num>
  <w:num w:numId="10">
    <w:abstractNumId w:val="11"/>
  </w:num>
  <w:num w:numId="11">
    <w:abstractNumId w:val="13"/>
  </w:num>
  <w:num w:numId="12">
    <w:abstractNumId w:val="5"/>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08"/>
    <w:rsid w:val="00054DF3"/>
    <w:rsid w:val="00057708"/>
    <w:rsid w:val="000D0762"/>
    <w:rsid w:val="000F7ABE"/>
    <w:rsid w:val="00142840"/>
    <w:rsid w:val="00214B78"/>
    <w:rsid w:val="002A6B64"/>
    <w:rsid w:val="002B1CAC"/>
    <w:rsid w:val="002B39D4"/>
    <w:rsid w:val="002B51BC"/>
    <w:rsid w:val="00465436"/>
    <w:rsid w:val="004F5CAD"/>
    <w:rsid w:val="005713AD"/>
    <w:rsid w:val="00587856"/>
    <w:rsid w:val="00592CBE"/>
    <w:rsid w:val="005C0D40"/>
    <w:rsid w:val="006029E8"/>
    <w:rsid w:val="00643440"/>
    <w:rsid w:val="006D4A09"/>
    <w:rsid w:val="006D640D"/>
    <w:rsid w:val="007551CB"/>
    <w:rsid w:val="00763865"/>
    <w:rsid w:val="007772CF"/>
    <w:rsid w:val="00804EC8"/>
    <w:rsid w:val="009C75E5"/>
    <w:rsid w:val="00A83457"/>
    <w:rsid w:val="00AD27F3"/>
    <w:rsid w:val="00B6024B"/>
    <w:rsid w:val="00B8013C"/>
    <w:rsid w:val="00BB5226"/>
    <w:rsid w:val="00BC06EC"/>
    <w:rsid w:val="00BC4EC4"/>
    <w:rsid w:val="00C058ED"/>
    <w:rsid w:val="00C517C7"/>
    <w:rsid w:val="00CC3C52"/>
    <w:rsid w:val="00CF5585"/>
    <w:rsid w:val="00D5240A"/>
    <w:rsid w:val="00D86576"/>
    <w:rsid w:val="00DA2666"/>
    <w:rsid w:val="00DB5D2B"/>
    <w:rsid w:val="00E77D5E"/>
    <w:rsid w:val="00F02857"/>
    <w:rsid w:val="00F02BAC"/>
    <w:rsid w:val="00F143E7"/>
    <w:rsid w:val="00F3744E"/>
    <w:rsid w:val="00F76F94"/>
    <w:rsid w:val="00FA3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1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CAC"/>
    <w:rPr>
      <w:rFonts w:ascii="Tahoma" w:hAnsi="Tahoma" w:cs="Tahoma"/>
      <w:sz w:val="16"/>
      <w:szCs w:val="16"/>
    </w:rPr>
  </w:style>
  <w:style w:type="paragraph" w:styleId="ListParagraph">
    <w:name w:val="List Paragraph"/>
    <w:basedOn w:val="Normal"/>
    <w:uiPriority w:val="34"/>
    <w:qFormat/>
    <w:rsid w:val="00587856"/>
    <w:pPr>
      <w:ind w:left="720"/>
      <w:contextualSpacing/>
    </w:pPr>
  </w:style>
  <w:style w:type="table" w:styleId="LightShading-Accent1">
    <w:name w:val="Light Shading Accent 1"/>
    <w:basedOn w:val="TableNormal"/>
    <w:uiPriority w:val="60"/>
    <w:rsid w:val="005C0D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B60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4A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4A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1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CAC"/>
    <w:rPr>
      <w:rFonts w:ascii="Tahoma" w:hAnsi="Tahoma" w:cs="Tahoma"/>
      <w:sz w:val="16"/>
      <w:szCs w:val="16"/>
    </w:rPr>
  </w:style>
  <w:style w:type="paragraph" w:styleId="ListParagraph">
    <w:name w:val="List Paragraph"/>
    <w:basedOn w:val="Normal"/>
    <w:uiPriority w:val="34"/>
    <w:qFormat/>
    <w:rsid w:val="00587856"/>
    <w:pPr>
      <w:ind w:left="720"/>
      <w:contextualSpacing/>
    </w:pPr>
  </w:style>
  <w:style w:type="table" w:styleId="LightShading-Accent1">
    <w:name w:val="Light Shading Accent 1"/>
    <w:basedOn w:val="TableNormal"/>
    <w:uiPriority w:val="60"/>
    <w:rsid w:val="005C0D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B60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4A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4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40.jp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s://www.aae.org/specialty/wp-content/uploads/sites/2/2017/06/aae_systemic-antibiotics.pdf"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aaos.org/uploadedFiles/PreProduction/Quality/AUCs_and_Performance%20_Measures/appropriate_use/auc-patients-with-orthopaedic-implants-dental-procedur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image" Target="media/image100.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0.PNG"/><Relationship Id="rId10" Type="http://schemas.openxmlformats.org/officeDocument/2006/relationships/image" Target="media/image3.png"/><Relationship Id="rId19" Type="http://schemas.openxmlformats.org/officeDocument/2006/relationships/hyperlink" Target="https://www.aaos.org/uploadedFiles/PreProduction/Quality/AUCs_and_Performance%20_Measures/appropriate_use/auc-patients-with-orthopaedic-implants-dental-procedures.pdf"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www.aae.org/specialty/wp-content/uploads/sites/2/2017/06/aae_systemic-antibiotics.pdf"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716C6-862F-4F2D-AE4A-31F080B0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Pavell</dc:creator>
  <cp:lastModifiedBy>Amy Pavell</cp:lastModifiedBy>
  <cp:revision>2</cp:revision>
  <cp:lastPrinted>2020-02-04T16:34:00Z</cp:lastPrinted>
  <dcterms:created xsi:type="dcterms:W3CDTF">2020-02-14T16:42:00Z</dcterms:created>
  <dcterms:modified xsi:type="dcterms:W3CDTF">2020-02-14T16:42:00Z</dcterms:modified>
</cp:coreProperties>
</file>