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2EE03" w14:textId="7EA1B104" w:rsidR="008B40CB" w:rsidRPr="007F1AC4" w:rsidRDefault="00526E67" w:rsidP="008B40CB">
      <w:pPr>
        <w:jc w:val="center"/>
      </w:pPr>
      <w:r>
        <w:rPr>
          <w:noProof/>
        </w:rPr>
        <w:drawing>
          <wp:inline distT="0" distB="0" distL="0" distR="0" wp14:anchorId="674E8373" wp14:editId="0E580446">
            <wp:extent cx="3659870" cy="142328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3.jpg"/>
                    <pic:cNvPicPr/>
                  </pic:nvPicPr>
                  <pic:blipFill>
                    <a:blip r:embed="rId8">
                      <a:extLst>
                        <a:ext uri="{28A0092B-C50C-407E-A947-70E740481C1C}">
                          <a14:useLocalDpi xmlns:a14="http://schemas.microsoft.com/office/drawing/2010/main" val="0"/>
                        </a:ext>
                      </a:extLst>
                    </a:blip>
                    <a:stretch>
                      <a:fillRect/>
                    </a:stretch>
                  </pic:blipFill>
                  <pic:spPr>
                    <a:xfrm>
                      <a:off x="0" y="0"/>
                      <a:ext cx="3661993" cy="1424109"/>
                    </a:xfrm>
                    <a:prstGeom prst="rect">
                      <a:avLst/>
                    </a:prstGeom>
                  </pic:spPr>
                </pic:pic>
              </a:graphicData>
            </a:graphic>
          </wp:inline>
        </w:drawing>
      </w:r>
    </w:p>
    <w:tbl>
      <w:tblPr>
        <w:tblStyle w:val="TableGrid"/>
        <w:tblW w:w="0" w:type="auto"/>
        <w:jc w:val="center"/>
        <w:tblInd w:w="-2101" w:type="dxa"/>
        <w:tblLook w:val="04A0" w:firstRow="1" w:lastRow="0" w:firstColumn="1" w:lastColumn="0" w:noHBand="0" w:noVBand="1"/>
      </w:tblPr>
      <w:tblGrid>
        <w:gridCol w:w="9234"/>
      </w:tblGrid>
      <w:tr w:rsidR="00B76EDF" w:rsidRPr="00591BE8" w14:paraId="634F5985" w14:textId="77777777" w:rsidTr="007857C8">
        <w:trPr>
          <w:jc w:val="center"/>
        </w:trPr>
        <w:tc>
          <w:tcPr>
            <w:tcW w:w="9234" w:type="dxa"/>
            <w:shd w:val="clear" w:color="auto" w:fill="00B0F0"/>
          </w:tcPr>
          <w:p w14:paraId="7399834F" w14:textId="5E5B61B8" w:rsidR="00B76EDF" w:rsidRPr="007857C8" w:rsidRDefault="00B76EDF" w:rsidP="007857C8">
            <w:pPr>
              <w:jc w:val="center"/>
              <w:rPr>
                <w:b/>
                <w:color w:val="FFFFFF" w:themeColor="background1"/>
                <w:sz w:val="28"/>
                <w:szCs w:val="28"/>
              </w:rPr>
            </w:pPr>
            <w:r w:rsidRPr="00591BE8">
              <w:rPr>
                <w:b/>
                <w:color w:val="FFFFFF" w:themeColor="background1"/>
                <w:sz w:val="28"/>
                <w:szCs w:val="28"/>
              </w:rPr>
              <w:t>Responsible Antibiotic Use in Dentistry:</w:t>
            </w:r>
            <w:r w:rsidR="007857C8">
              <w:rPr>
                <w:b/>
                <w:color w:val="FFFFFF" w:themeColor="background1"/>
                <w:sz w:val="28"/>
                <w:szCs w:val="28"/>
              </w:rPr>
              <w:t xml:space="preserve"> </w:t>
            </w:r>
            <w:r w:rsidRPr="00591BE8">
              <w:rPr>
                <w:b/>
                <w:color w:val="FFFFFF" w:themeColor="background1"/>
                <w:sz w:val="28"/>
                <w:szCs w:val="28"/>
              </w:rPr>
              <w:t>A Focus on Antibiotic Stewardship</w:t>
            </w:r>
          </w:p>
        </w:tc>
      </w:tr>
      <w:tr w:rsidR="00B76EDF" w:rsidRPr="00591BE8" w14:paraId="4AE0BFDB" w14:textId="77777777" w:rsidTr="007857C8">
        <w:trPr>
          <w:jc w:val="center"/>
        </w:trPr>
        <w:tc>
          <w:tcPr>
            <w:tcW w:w="9234" w:type="dxa"/>
            <w:shd w:val="clear" w:color="auto" w:fill="auto"/>
          </w:tcPr>
          <w:p w14:paraId="762A2BD7" w14:textId="77777777" w:rsidR="00B76EDF" w:rsidRPr="00591BE8" w:rsidRDefault="00B76EDF" w:rsidP="007857C8">
            <w:pPr>
              <w:jc w:val="center"/>
              <w:rPr>
                <w:sz w:val="28"/>
                <w:szCs w:val="28"/>
              </w:rPr>
            </w:pPr>
            <w:r w:rsidRPr="00591BE8">
              <w:rPr>
                <w:sz w:val="28"/>
                <w:szCs w:val="28"/>
              </w:rPr>
              <w:t>Chicago Department of Public Health Guidelines for Antibiotic Use in Dentistry</w:t>
            </w:r>
          </w:p>
        </w:tc>
      </w:tr>
    </w:tbl>
    <w:p w14:paraId="72C0AC14" w14:textId="77777777" w:rsidR="007857C8" w:rsidRDefault="007857C8" w:rsidP="007857C8">
      <w:pPr>
        <w:spacing w:after="0" w:line="240" w:lineRule="auto"/>
      </w:pPr>
    </w:p>
    <w:p w14:paraId="52EA1CAC" w14:textId="77777777" w:rsidR="008B40CB" w:rsidRDefault="008B40CB" w:rsidP="007857C8">
      <w:pPr>
        <w:spacing w:after="0" w:line="240" w:lineRule="auto"/>
        <w:rPr>
          <w:sz w:val="18"/>
          <w:szCs w:val="18"/>
        </w:rPr>
      </w:pPr>
    </w:p>
    <w:p w14:paraId="72993313" w14:textId="082A09C3" w:rsidR="00F2706D" w:rsidRPr="00F2706D" w:rsidRDefault="00B76EDF" w:rsidP="007857C8">
      <w:pPr>
        <w:spacing w:after="0" w:line="240" w:lineRule="auto"/>
        <w:rPr>
          <w:sz w:val="18"/>
          <w:szCs w:val="18"/>
        </w:rPr>
      </w:pPr>
      <w:r w:rsidRPr="00506F01">
        <w:rPr>
          <w:sz w:val="18"/>
          <w:szCs w:val="18"/>
        </w:rPr>
        <w:t>Developed by:  Amy Hanson</w:t>
      </w:r>
      <w:r w:rsidR="00A312F4">
        <w:rPr>
          <w:sz w:val="18"/>
          <w:szCs w:val="18"/>
          <w:vertAlign w:val="superscript"/>
        </w:rPr>
        <w:t>1</w:t>
      </w:r>
      <w:r w:rsidRPr="00506F01">
        <w:rPr>
          <w:sz w:val="18"/>
          <w:szCs w:val="18"/>
        </w:rPr>
        <w:t>, PharmD, BCPS AQ-ID, Infectious Disease Pharmacist Reviewed by:</w:t>
      </w:r>
      <w:r w:rsidR="00B65F24">
        <w:rPr>
          <w:sz w:val="18"/>
          <w:szCs w:val="18"/>
        </w:rPr>
        <w:t xml:space="preserve"> Susan Rowan</w:t>
      </w:r>
      <w:r w:rsidR="00A312F4">
        <w:rPr>
          <w:sz w:val="18"/>
          <w:szCs w:val="18"/>
          <w:vertAlign w:val="superscript"/>
        </w:rPr>
        <w:t>2</w:t>
      </w:r>
      <w:r w:rsidR="00B65F24">
        <w:rPr>
          <w:sz w:val="18"/>
          <w:szCs w:val="18"/>
        </w:rPr>
        <w:t>, DDS, MS and Erinne Kennedy</w:t>
      </w:r>
      <w:r w:rsidR="00A312F4">
        <w:rPr>
          <w:sz w:val="18"/>
          <w:szCs w:val="18"/>
          <w:vertAlign w:val="superscript"/>
        </w:rPr>
        <w:t>3</w:t>
      </w:r>
      <w:r w:rsidR="00B65F24">
        <w:rPr>
          <w:sz w:val="18"/>
          <w:szCs w:val="18"/>
        </w:rPr>
        <w:t>, DMD, MPH</w:t>
      </w:r>
      <w:r w:rsidR="00A312F4">
        <w:rPr>
          <w:sz w:val="18"/>
          <w:szCs w:val="18"/>
        </w:rPr>
        <w:t>, MMSc</w:t>
      </w:r>
      <w:r w:rsidR="007857C8">
        <w:rPr>
          <w:sz w:val="18"/>
          <w:szCs w:val="18"/>
        </w:rPr>
        <w:t xml:space="preserve">  </w:t>
      </w:r>
      <w:r w:rsidR="00F2706D">
        <w:rPr>
          <w:sz w:val="18"/>
          <w:szCs w:val="18"/>
          <w:vertAlign w:val="superscript"/>
        </w:rPr>
        <w:t>1</w:t>
      </w:r>
      <w:r w:rsidR="00F2706D" w:rsidRPr="00506F01">
        <w:rPr>
          <w:sz w:val="18"/>
          <w:szCs w:val="18"/>
        </w:rPr>
        <w:t>Chicago Department of Public Health</w:t>
      </w:r>
      <w:r w:rsidR="007857C8">
        <w:rPr>
          <w:sz w:val="18"/>
          <w:szCs w:val="18"/>
        </w:rPr>
        <w:t xml:space="preserve">, Communicable Disease Program  </w:t>
      </w:r>
      <w:r w:rsidR="00A312F4" w:rsidRPr="00F2706D">
        <w:rPr>
          <w:sz w:val="18"/>
          <w:szCs w:val="18"/>
          <w:vertAlign w:val="superscript"/>
        </w:rPr>
        <w:t>2</w:t>
      </w:r>
      <w:r w:rsidR="00F2706D">
        <w:rPr>
          <w:sz w:val="18"/>
          <w:szCs w:val="18"/>
        </w:rPr>
        <w:t xml:space="preserve">Executive Associate Dean, </w:t>
      </w:r>
      <w:r w:rsidR="00A312F4" w:rsidRPr="00F2706D">
        <w:rPr>
          <w:sz w:val="18"/>
          <w:szCs w:val="18"/>
        </w:rPr>
        <w:t>College</w:t>
      </w:r>
      <w:r w:rsidR="00A312F4">
        <w:rPr>
          <w:sz w:val="18"/>
          <w:szCs w:val="18"/>
        </w:rPr>
        <w:t xml:space="preserve"> of Dentistry, University of Illinois at Chicago</w:t>
      </w:r>
      <w:r w:rsidR="007857C8">
        <w:rPr>
          <w:sz w:val="18"/>
          <w:szCs w:val="18"/>
        </w:rPr>
        <w:t xml:space="preserve">  </w:t>
      </w:r>
      <w:r w:rsidR="00F2706D">
        <w:rPr>
          <w:sz w:val="18"/>
          <w:szCs w:val="18"/>
          <w:vertAlign w:val="superscript"/>
        </w:rPr>
        <w:t>3</w:t>
      </w:r>
      <w:r w:rsidR="00F2706D">
        <w:rPr>
          <w:sz w:val="18"/>
          <w:szCs w:val="18"/>
        </w:rPr>
        <w:t xml:space="preserve">Associate Dentists, Massachusetts State </w:t>
      </w:r>
      <w:r w:rsidR="007857C8">
        <w:rPr>
          <w:sz w:val="18"/>
          <w:szCs w:val="18"/>
        </w:rPr>
        <w:t>Employee Fund</w:t>
      </w:r>
    </w:p>
    <w:p w14:paraId="0A0D3C2C" w14:textId="77777777" w:rsidR="00A312F4" w:rsidRDefault="00A312F4" w:rsidP="00A312F4">
      <w:pPr>
        <w:spacing w:after="0" w:line="240" w:lineRule="auto"/>
        <w:jc w:val="center"/>
        <w:rPr>
          <w:sz w:val="18"/>
          <w:szCs w:val="18"/>
        </w:rPr>
      </w:pPr>
    </w:p>
    <w:p w14:paraId="1DD62D2E" w14:textId="77777777" w:rsidR="00B76EDF" w:rsidRPr="00506F01" w:rsidRDefault="00B76EDF" w:rsidP="00B76EDF">
      <w:pPr>
        <w:jc w:val="center"/>
        <w:rPr>
          <w:sz w:val="18"/>
          <w:szCs w:val="18"/>
        </w:rPr>
      </w:pPr>
      <w:r w:rsidRPr="00506F01">
        <w:rPr>
          <w:sz w:val="18"/>
          <w:szCs w:val="18"/>
        </w:rPr>
        <w:t>Date developed:  January 2020</w:t>
      </w:r>
    </w:p>
    <w:p w14:paraId="7A5AC1C1" w14:textId="77777777" w:rsidR="008B40CB" w:rsidRDefault="008B40CB" w:rsidP="00B76EDF"/>
    <w:p w14:paraId="3C900E1C" w14:textId="77777777" w:rsidR="00B76EDF" w:rsidRPr="00506F01" w:rsidRDefault="00010A64" w:rsidP="00B76EDF">
      <w:r>
        <w:t>S</w:t>
      </w:r>
      <w:r w:rsidR="00B76EDF">
        <w:t>cope of these guidelines for antibiotic p</w:t>
      </w:r>
      <w:r>
        <w:t>rescribing in dentistry:</w:t>
      </w:r>
    </w:p>
    <w:p w14:paraId="7D7A1E30" w14:textId="77777777" w:rsidR="00B76EDF" w:rsidRPr="004D4E17" w:rsidRDefault="00B76EDF" w:rsidP="007857C8">
      <w:pPr>
        <w:spacing w:after="120"/>
        <w:ind w:firstLine="720"/>
        <w:rPr>
          <w:b/>
          <w:sz w:val="21"/>
          <w:szCs w:val="21"/>
        </w:rPr>
      </w:pPr>
      <w:r w:rsidRPr="004D4E17">
        <w:rPr>
          <w:b/>
          <w:sz w:val="21"/>
          <w:szCs w:val="21"/>
        </w:rPr>
        <w:t>Introduction</w:t>
      </w:r>
    </w:p>
    <w:p w14:paraId="50E5055B" w14:textId="3AF6707F" w:rsidR="00B76EDF" w:rsidRPr="004D4E17" w:rsidRDefault="00B76EDF" w:rsidP="007857C8">
      <w:pPr>
        <w:spacing w:after="120"/>
        <w:ind w:firstLine="720"/>
        <w:rPr>
          <w:b/>
          <w:sz w:val="21"/>
          <w:szCs w:val="21"/>
        </w:rPr>
      </w:pPr>
      <w:r w:rsidRPr="004D4E17">
        <w:rPr>
          <w:b/>
          <w:sz w:val="21"/>
          <w:szCs w:val="21"/>
        </w:rPr>
        <w:t xml:space="preserve">Treatment:    </w:t>
      </w:r>
      <w:r w:rsidR="004D4E17">
        <w:rPr>
          <w:b/>
          <w:sz w:val="21"/>
          <w:szCs w:val="21"/>
        </w:rPr>
        <w:t xml:space="preserve">#1) </w:t>
      </w:r>
      <w:r w:rsidRPr="004D4E17">
        <w:rPr>
          <w:b/>
          <w:sz w:val="21"/>
          <w:szCs w:val="21"/>
        </w:rPr>
        <w:t>Acute oral bacterial infection (cellulitis or abscess)</w:t>
      </w:r>
    </w:p>
    <w:p w14:paraId="7D0B5FE1" w14:textId="1DDDE1F3" w:rsidR="00B76EDF" w:rsidRPr="004D4E17" w:rsidRDefault="00B76EDF" w:rsidP="00F2706D">
      <w:pPr>
        <w:spacing w:after="120"/>
        <w:rPr>
          <w:b/>
          <w:sz w:val="21"/>
          <w:szCs w:val="21"/>
        </w:rPr>
      </w:pPr>
      <w:r w:rsidRPr="004D4E17">
        <w:rPr>
          <w:b/>
          <w:sz w:val="21"/>
          <w:szCs w:val="21"/>
        </w:rPr>
        <w:tab/>
        <w:t xml:space="preserve">         </w:t>
      </w:r>
      <w:r w:rsidR="007857C8">
        <w:rPr>
          <w:b/>
          <w:sz w:val="21"/>
          <w:szCs w:val="21"/>
        </w:rPr>
        <w:t xml:space="preserve">                </w:t>
      </w:r>
      <w:r w:rsidR="004D4E17">
        <w:rPr>
          <w:b/>
          <w:sz w:val="21"/>
          <w:szCs w:val="21"/>
        </w:rPr>
        <w:t xml:space="preserve">#2) </w:t>
      </w:r>
      <w:r w:rsidR="00C87318" w:rsidRPr="004D4E17">
        <w:rPr>
          <w:b/>
          <w:sz w:val="21"/>
          <w:szCs w:val="21"/>
        </w:rPr>
        <w:t xml:space="preserve">Acute </w:t>
      </w:r>
      <w:r w:rsidR="00784E97" w:rsidRPr="004D4E17">
        <w:rPr>
          <w:b/>
          <w:sz w:val="21"/>
          <w:szCs w:val="21"/>
        </w:rPr>
        <w:t xml:space="preserve">Pericoronitis </w:t>
      </w:r>
    </w:p>
    <w:p w14:paraId="386A2330" w14:textId="5BB0699C" w:rsidR="00010A64" w:rsidRPr="004D4E17" w:rsidRDefault="00B76EDF" w:rsidP="00F2706D">
      <w:pPr>
        <w:spacing w:after="120"/>
        <w:rPr>
          <w:b/>
          <w:sz w:val="21"/>
          <w:szCs w:val="21"/>
        </w:rPr>
      </w:pPr>
      <w:r w:rsidRPr="004D4E17">
        <w:rPr>
          <w:b/>
          <w:sz w:val="21"/>
          <w:szCs w:val="21"/>
        </w:rPr>
        <w:tab/>
        <w:t xml:space="preserve">       </w:t>
      </w:r>
      <w:r w:rsidR="007857C8">
        <w:rPr>
          <w:b/>
          <w:sz w:val="21"/>
          <w:szCs w:val="21"/>
        </w:rPr>
        <w:t xml:space="preserve">                 </w:t>
      </w:r>
      <w:r w:rsidRPr="004D4E17">
        <w:rPr>
          <w:b/>
          <w:sz w:val="21"/>
          <w:szCs w:val="21"/>
        </w:rPr>
        <w:t xml:space="preserve"> </w:t>
      </w:r>
      <w:r w:rsidR="004D4E17">
        <w:rPr>
          <w:b/>
          <w:sz w:val="21"/>
          <w:szCs w:val="21"/>
        </w:rPr>
        <w:t xml:space="preserve">#3) </w:t>
      </w:r>
      <w:r w:rsidRPr="004D4E17">
        <w:rPr>
          <w:b/>
          <w:sz w:val="21"/>
          <w:szCs w:val="21"/>
        </w:rPr>
        <w:t xml:space="preserve">Sinus infection that presents with dental symptoms </w:t>
      </w:r>
    </w:p>
    <w:p w14:paraId="440C1E49" w14:textId="32FB3C7F" w:rsidR="00092CBC" w:rsidRPr="004D4E17" w:rsidRDefault="004D54D0" w:rsidP="00F2706D">
      <w:pPr>
        <w:spacing w:after="120"/>
        <w:rPr>
          <w:b/>
          <w:sz w:val="21"/>
          <w:szCs w:val="21"/>
        </w:rPr>
      </w:pPr>
      <w:r w:rsidRPr="004D4E17">
        <w:rPr>
          <w:b/>
          <w:sz w:val="21"/>
          <w:szCs w:val="21"/>
        </w:rPr>
        <w:tab/>
        <w:t xml:space="preserve">        </w:t>
      </w:r>
      <w:r w:rsidR="007857C8">
        <w:rPr>
          <w:b/>
          <w:sz w:val="21"/>
          <w:szCs w:val="21"/>
        </w:rPr>
        <w:tab/>
        <w:t xml:space="preserve">         </w:t>
      </w:r>
      <w:r w:rsidRPr="004D4E17">
        <w:rPr>
          <w:b/>
          <w:sz w:val="21"/>
          <w:szCs w:val="21"/>
        </w:rPr>
        <w:t xml:space="preserve"> </w:t>
      </w:r>
      <w:r w:rsidR="004D4E17">
        <w:rPr>
          <w:b/>
          <w:sz w:val="21"/>
          <w:szCs w:val="21"/>
        </w:rPr>
        <w:t xml:space="preserve">#4) </w:t>
      </w:r>
      <w:r w:rsidRPr="004D4E17">
        <w:rPr>
          <w:b/>
          <w:sz w:val="21"/>
          <w:szCs w:val="21"/>
        </w:rPr>
        <w:t>Chronic periodontal disease</w:t>
      </w:r>
    </w:p>
    <w:p w14:paraId="5AD4CA5E" w14:textId="069386AF" w:rsidR="00B76EDF" w:rsidRPr="004D4E17" w:rsidRDefault="00B76EDF" w:rsidP="007857C8">
      <w:pPr>
        <w:spacing w:after="120"/>
        <w:ind w:firstLine="720"/>
        <w:rPr>
          <w:b/>
          <w:sz w:val="21"/>
          <w:szCs w:val="21"/>
        </w:rPr>
      </w:pPr>
      <w:r w:rsidRPr="004D4E17">
        <w:rPr>
          <w:b/>
          <w:sz w:val="21"/>
          <w:szCs w:val="21"/>
        </w:rPr>
        <w:t xml:space="preserve">Prophylaxis:  </w:t>
      </w:r>
      <w:r w:rsidR="004D4E17">
        <w:rPr>
          <w:b/>
          <w:sz w:val="21"/>
          <w:szCs w:val="21"/>
        </w:rPr>
        <w:t xml:space="preserve">#1) </w:t>
      </w:r>
      <w:r w:rsidR="00D8361E" w:rsidRPr="004D4E17">
        <w:rPr>
          <w:b/>
          <w:sz w:val="21"/>
          <w:szCs w:val="21"/>
        </w:rPr>
        <w:t>P</w:t>
      </w:r>
      <w:r w:rsidRPr="004D4E17">
        <w:rPr>
          <w:b/>
          <w:sz w:val="21"/>
          <w:szCs w:val="21"/>
        </w:rPr>
        <w:t>revent</w:t>
      </w:r>
      <w:r w:rsidR="00D8361E" w:rsidRPr="004D4E17">
        <w:rPr>
          <w:b/>
          <w:sz w:val="21"/>
          <w:szCs w:val="21"/>
        </w:rPr>
        <w:t xml:space="preserve">ion of </w:t>
      </w:r>
      <w:r w:rsidR="0028575B">
        <w:rPr>
          <w:b/>
          <w:sz w:val="21"/>
          <w:szCs w:val="21"/>
        </w:rPr>
        <w:t xml:space="preserve">surgical </w:t>
      </w:r>
      <w:r w:rsidRPr="004D4E17">
        <w:rPr>
          <w:b/>
          <w:sz w:val="21"/>
          <w:szCs w:val="21"/>
        </w:rPr>
        <w:t>site infection</w:t>
      </w:r>
      <w:r w:rsidR="00CF6DC2">
        <w:rPr>
          <w:b/>
          <w:sz w:val="21"/>
          <w:szCs w:val="21"/>
        </w:rPr>
        <w:t>s</w:t>
      </w:r>
    </w:p>
    <w:p w14:paraId="30646180" w14:textId="6B4CA428" w:rsidR="00B76EDF" w:rsidRPr="004D4E17" w:rsidRDefault="007857C8" w:rsidP="00F2706D">
      <w:pPr>
        <w:spacing w:after="120"/>
        <w:ind w:left="720" w:firstLine="495"/>
        <w:rPr>
          <w:b/>
          <w:sz w:val="21"/>
          <w:szCs w:val="21"/>
        </w:rPr>
      </w:pPr>
      <w:r>
        <w:rPr>
          <w:b/>
          <w:sz w:val="21"/>
          <w:szCs w:val="21"/>
        </w:rPr>
        <w:t xml:space="preserve">              </w:t>
      </w:r>
      <w:r w:rsidR="004D4E17">
        <w:rPr>
          <w:b/>
          <w:sz w:val="21"/>
          <w:szCs w:val="21"/>
        </w:rPr>
        <w:t xml:space="preserve">#2) </w:t>
      </w:r>
      <w:r w:rsidR="00D8361E" w:rsidRPr="004D4E17">
        <w:rPr>
          <w:b/>
          <w:sz w:val="21"/>
          <w:szCs w:val="21"/>
        </w:rPr>
        <w:t xml:space="preserve">Prevention </w:t>
      </w:r>
      <w:r w:rsidR="004D4E17" w:rsidRPr="004D4E17">
        <w:rPr>
          <w:b/>
          <w:sz w:val="21"/>
          <w:szCs w:val="21"/>
        </w:rPr>
        <w:t>of infective</w:t>
      </w:r>
      <w:r w:rsidR="00B76EDF" w:rsidRPr="004D4E17">
        <w:rPr>
          <w:b/>
          <w:sz w:val="21"/>
          <w:szCs w:val="21"/>
        </w:rPr>
        <w:t xml:space="preserve"> endocarditis </w:t>
      </w:r>
    </w:p>
    <w:p w14:paraId="673282D2" w14:textId="7642926E" w:rsidR="00092CBC" w:rsidRPr="004D4E17" w:rsidRDefault="00B76EDF" w:rsidP="00092CBC">
      <w:pPr>
        <w:spacing w:after="120"/>
        <w:rPr>
          <w:b/>
          <w:sz w:val="21"/>
          <w:szCs w:val="21"/>
        </w:rPr>
      </w:pPr>
      <w:r w:rsidRPr="004D4E17">
        <w:rPr>
          <w:b/>
          <w:sz w:val="21"/>
          <w:szCs w:val="21"/>
        </w:rPr>
        <w:tab/>
        <w:t xml:space="preserve">        </w:t>
      </w:r>
      <w:r w:rsidR="007857C8">
        <w:rPr>
          <w:b/>
          <w:sz w:val="21"/>
          <w:szCs w:val="21"/>
        </w:rPr>
        <w:t xml:space="preserve">              </w:t>
      </w:r>
      <w:r w:rsidRPr="004D4E17">
        <w:rPr>
          <w:b/>
          <w:sz w:val="21"/>
          <w:szCs w:val="21"/>
        </w:rPr>
        <w:t xml:space="preserve">  </w:t>
      </w:r>
      <w:r w:rsidR="004D4E17">
        <w:rPr>
          <w:b/>
          <w:sz w:val="21"/>
          <w:szCs w:val="21"/>
        </w:rPr>
        <w:t xml:space="preserve">#3) </w:t>
      </w:r>
      <w:r w:rsidR="00784E97" w:rsidRPr="004D4E17">
        <w:rPr>
          <w:b/>
          <w:sz w:val="21"/>
          <w:szCs w:val="21"/>
        </w:rPr>
        <w:t>Prevent</w:t>
      </w:r>
      <w:r w:rsidR="00D8361E" w:rsidRPr="004D4E17">
        <w:rPr>
          <w:b/>
          <w:sz w:val="21"/>
          <w:szCs w:val="21"/>
        </w:rPr>
        <w:t xml:space="preserve">ion </w:t>
      </w:r>
      <w:r w:rsidR="004D4E17" w:rsidRPr="004D4E17">
        <w:rPr>
          <w:b/>
          <w:sz w:val="21"/>
          <w:szCs w:val="21"/>
        </w:rPr>
        <w:t>of prosthetic</w:t>
      </w:r>
      <w:r w:rsidR="00092CBC" w:rsidRPr="004D4E17">
        <w:rPr>
          <w:b/>
          <w:sz w:val="21"/>
          <w:szCs w:val="21"/>
        </w:rPr>
        <w:t xml:space="preserve"> joint infection</w:t>
      </w:r>
      <w:r w:rsidR="00CF6DC2">
        <w:rPr>
          <w:b/>
          <w:sz w:val="21"/>
          <w:szCs w:val="21"/>
        </w:rPr>
        <w:t>s</w:t>
      </w:r>
      <w:r w:rsidR="00092CBC" w:rsidRPr="004D4E17">
        <w:rPr>
          <w:b/>
          <w:sz w:val="21"/>
          <w:szCs w:val="21"/>
        </w:rPr>
        <w:t xml:space="preserve"> </w:t>
      </w:r>
    </w:p>
    <w:p w14:paraId="06C81010" w14:textId="77777777" w:rsidR="008B40CB" w:rsidRDefault="008B40CB" w:rsidP="00092CBC">
      <w:pPr>
        <w:spacing w:after="0"/>
        <w:rPr>
          <w:b/>
        </w:rPr>
      </w:pPr>
    </w:p>
    <w:p w14:paraId="426C5784" w14:textId="17D1AB27" w:rsidR="00B76EDF" w:rsidRPr="009C798B" w:rsidRDefault="00B76EDF" w:rsidP="00092CBC">
      <w:pPr>
        <w:spacing w:after="0"/>
        <w:rPr>
          <w:b/>
        </w:rPr>
      </w:pPr>
      <w:r w:rsidRPr="009C798B">
        <w:rPr>
          <w:b/>
        </w:rPr>
        <w:t>Introduction:</w:t>
      </w:r>
    </w:p>
    <w:p w14:paraId="61A8BA7C" w14:textId="77777777" w:rsidR="00526E67" w:rsidRDefault="00B76EDF" w:rsidP="00092CBC">
      <w:pPr>
        <w:spacing w:after="0"/>
        <w:rPr>
          <w:sz w:val="21"/>
          <w:szCs w:val="21"/>
        </w:rPr>
      </w:pPr>
      <w:r w:rsidRPr="00820BC2">
        <w:rPr>
          <w:sz w:val="21"/>
          <w:szCs w:val="21"/>
        </w:rPr>
        <w:t>Dentists prescribe 10% of all outpatient antibiotic prescriptions, writing more than 25.7 million prescriptions each year.  General and specialty dentists are the third highest prescribers of antibiotics in all outpatient settings in the US.</w:t>
      </w:r>
      <w:r w:rsidRPr="00820BC2">
        <w:rPr>
          <w:sz w:val="21"/>
          <w:szCs w:val="21"/>
          <w:vertAlign w:val="superscript"/>
        </w:rPr>
        <w:t>1</w:t>
      </w:r>
      <w:r w:rsidRPr="00820BC2">
        <w:rPr>
          <w:sz w:val="21"/>
          <w:szCs w:val="21"/>
        </w:rPr>
        <w:t xml:space="preserve">   Reports from 2017-2019 suggest that 30-85% of dental antibiotic prescriptions are “suboptimal or not indicated”.</w:t>
      </w:r>
      <w:r w:rsidRPr="00820BC2">
        <w:rPr>
          <w:sz w:val="21"/>
          <w:szCs w:val="21"/>
          <w:vertAlign w:val="superscript"/>
        </w:rPr>
        <w:t>2-4</w:t>
      </w:r>
      <w:r w:rsidRPr="00820BC2">
        <w:rPr>
          <w:sz w:val="21"/>
          <w:szCs w:val="21"/>
        </w:rPr>
        <w:t xml:space="preserve">  </w:t>
      </w:r>
      <w:r w:rsidR="00820BC2">
        <w:rPr>
          <w:sz w:val="21"/>
          <w:szCs w:val="21"/>
        </w:rPr>
        <w:t xml:space="preserve"> </w:t>
      </w:r>
    </w:p>
    <w:p w14:paraId="24F7C481" w14:textId="22A08387" w:rsidR="008B40CB" w:rsidRDefault="00B76EDF" w:rsidP="00597BDD">
      <w:pPr>
        <w:spacing w:after="0"/>
        <w:rPr>
          <w:sz w:val="21"/>
          <w:szCs w:val="21"/>
        </w:rPr>
      </w:pPr>
      <w:r w:rsidRPr="00820BC2">
        <w:rPr>
          <w:sz w:val="21"/>
          <w:szCs w:val="21"/>
        </w:rPr>
        <w:t xml:space="preserve">We hope a summary of available literature in these Chicago Department of Public Health (CDPH) dental prescribing guidelines will help guide more judicious use of antibiotics in your dental practice.  Please use the previously distributed Dental Toolkit binder as references for additional resources and literature on dental antimicrobial stewardship. </w:t>
      </w:r>
    </w:p>
    <w:p w14:paraId="02E28D3E" w14:textId="77777777" w:rsidR="00F83857" w:rsidRPr="00820BC2" w:rsidRDefault="00F83857" w:rsidP="00597BDD">
      <w:pPr>
        <w:spacing w:after="0"/>
        <w:rPr>
          <w:sz w:val="21"/>
          <w:szCs w:val="21"/>
        </w:rPr>
      </w:pPr>
    </w:p>
    <w:tbl>
      <w:tblPr>
        <w:tblStyle w:val="TableGrid"/>
        <w:tblW w:w="0" w:type="auto"/>
        <w:tblLook w:val="04A0" w:firstRow="1" w:lastRow="0" w:firstColumn="1" w:lastColumn="0" w:noHBand="0" w:noVBand="1"/>
      </w:tblPr>
      <w:tblGrid>
        <w:gridCol w:w="9576"/>
      </w:tblGrid>
      <w:tr w:rsidR="00B76EDF" w14:paraId="2274F9ED" w14:textId="77777777" w:rsidTr="00241DC7">
        <w:tc>
          <w:tcPr>
            <w:tcW w:w="9576" w:type="dxa"/>
            <w:shd w:val="clear" w:color="auto" w:fill="00B0F0"/>
          </w:tcPr>
          <w:p w14:paraId="5817C1DC" w14:textId="77777777" w:rsidR="00B76EDF" w:rsidRPr="005112DE" w:rsidRDefault="00B76EDF" w:rsidP="00597BDD">
            <w:pPr>
              <w:jc w:val="center"/>
              <w:rPr>
                <w:b/>
                <w:sz w:val="28"/>
                <w:szCs w:val="28"/>
              </w:rPr>
            </w:pPr>
            <w:r w:rsidRPr="005112DE">
              <w:rPr>
                <w:b/>
                <w:color w:val="FFFFFF" w:themeColor="background1"/>
                <w:sz w:val="28"/>
                <w:szCs w:val="28"/>
              </w:rPr>
              <w:lastRenderedPageBreak/>
              <w:t>TREATMENT REGIMENS</w:t>
            </w:r>
          </w:p>
        </w:tc>
      </w:tr>
    </w:tbl>
    <w:p w14:paraId="7CA4CD3D" w14:textId="77777777" w:rsidR="00B76EDF" w:rsidRDefault="00B76EDF" w:rsidP="00597BDD">
      <w:pPr>
        <w:spacing w:after="0" w:line="240" w:lineRule="auto"/>
      </w:pPr>
    </w:p>
    <w:tbl>
      <w:tblPr>
        <w:tblStyle w:val="TableGrid"/>
        <w:tblW w:w="0" w:type="auto"/>
        <w:tblLook w:val="04A0" w:firstRow="1" w:lastRow="0" w:firstColumn="1" w:lastColumn="0" w:noHBand="0" w:noVBand="1"/>
      </w:tblPr>
      <w:tblGrid>
        <w:gridCol w:w="9558"/>
      </w:tblGrid>
      <w:tr w:rsidR="00B76EDF" w14:paraId="3721EBC6" w14:textId="77777777" w:rsidTr="00526E67">
        <w:tc>
          <w:tcPr>
            <w:tcW w:w="9558" w:type="dxa"/>
            <w:shd w:val="clear" w:color="auto" w:fill="00B0F0"/>
          </w:tcPr>
          <w:p w14:paraId="59629CB0" w14:textId="15911EED" w:rsidR="00B76EDF" w:rsidRPr="005112DE" w:rsidRDefault="000943F7" w:rsidP="00241DC7">
            <w:pPr>
              <w:rPr>
                <w:sz w:val="24"/>
                <w:szCs w:val="24"/>
                <w:vertAlign w:val="superscript"/>
              </w:rPr>
            </w:pPr>
            <w:r>
              <w:rPr>
                <w:b/>
                <w:color w:val="FFFFFF" w:themeColor="background1"/>
                <w:sz w:val="24"/>
                <w:szCs w:val="24"/>
              </w:rPr>
              <w:t xml:space="preserve">#1) </w:t>
            </w:r>
            <w:r w:rsidR="00B76EDF" w:rsidRPr="005112DE">
              <w:rPr>
                <w:b/>
                <w:color w:val="FFFFFF" w:themeColor="background1"/>
                <w:sz w:val="24"/>
                <w:szCs w:val="24"/>
              </w:rPr>
              <w:t>Acute oral bacterial infection (cellulitis or abscess):</w:t>
            </w:r>
            <w:r w:rsidR="00B76EDF" w:rsidRPr="005112DE">
              <w:rPr>
                <w:color w:val="FFFFFF" w:themeColor="background1"/>
                <w:sz w:val="24"/>
                <w:szCs w:val="24"/>
                <w:vertAlign w:val="superscript"/>
              </w:rPr>
              <w:t>5,6</w:t>
            </w:r>
          </w:p>
        </w:tc>
      </w:tr>
      <w:tr w:rsidR="00B76EDF" w14:paraId="6E8FF85F" w14:textId="77777777" w:rsidTr="00526E67">
        <w:tc>
          <w:tcPr>
            <w:tcW w:w="9558" w:type="dxa"/>
            <w:shd w:val="clear" w:color="auto" w:fill="BFBFBF" w:themeFill="background1" w:themeFillShade="BF"/>
          </w:tcPr>
          <w:p w14:paraId="2B5ECA9F" w14:textId="77777777" w:rsidR="00B76EDF" w:rsidRPr="00950208" w:rsidRDefault="00B76EDF" w:rsidP="00241DC7">
            <w:pPr>
              <w:rPr>
                <w:b/>
              </w:rPr>
            </w:pPr>
            <w:r w:rsidRPr="00950208">
              <w:rPr>
                <w:b/>
              </w:rPr>
              <w:t>Management</w:t>
            </w:r>
          </w:p>
        </w:tc>
      </w:tr>
      <w:tr w:rsidR="00B76EDF" w14:paraId="1D1744AF" w14:textId="77777777" w:rsidTr="00526E67">
        <w:tc>
          <w:tcPr>
            <w:tcW w:w="9558" w:type="dxa"/>
          </w:tcPr>
          <w:p w14:paraId="243840B6" w14:textId="00882685" w:rsidR="00B76EDF" w:rsidRDefault="00B76EDF" w:rsidP="00597BDD">
            <w:r w:rsidRPr="00820BC2">
              <w:rPr>
                <w:sz w:val="21"/>
                <w:szCs w:val="21"/>
              </w:rPr>
              <w:t>Depending on the extent of t</w:t>
            </w:r>
            <w:r w:rsidR="00597BDD" w:rsidRPr="00820BC2">
              <w:rPr>
                <w:sz w:val="21"/>
                <w:szCs w:val="21"/>
              </w:rPr>
              <w:t xml:space="preserve">he infection and any signs of </w:t>
            </w:r>
            <w:r w:rsidRPr="00820BC2">
              <w:rPr>
                <w:sz w:val="21"/>
                <w:szCs w:val="21"/>
              </w:rPr>
              <w:t>system</w:t>
            </w:r>
            <w:r w:rsidR="00597BDD" w:rsidRPr="00820BC2">
              <w:rPr>
                <w:sz w:val="21"/>
                <w:szCs w:val="21"/>
              </w:rPr>
              <w:t xml:space="preserve">ic spread of infection (fever </w:t>
            </w:r>
            <w:r w:rsidRPr="00820BC2">
              <w:rPr>
                <w:sz w:val="21"/>
                <w:szCs w:val="21"/>
              </w:rPr>
              <w:t>or malaise</w:t>
            </w:r>
            <w:r w:rsidR="00597BDD" w:rsidRPr="00820BC2">
              <w:rPr>
                <w:sz w:val="21"/>
                <w:szCs w:val="21"/>
              </w:rPr>
              <w:t>)</w:t>
            </w:r>
            <w:r w:rsidR="00E85146" w:rsidRPr="00820BC2">
              <w:rPr>
                <w:sz w:val="21"/>
                <w:szCs w:val="21"/>
              </w:rPr>
              <w:t xml:space="preserve">, </w:t>
            </w:r>
            <w:r w:rsidRPr="00820BC2">
              <w:rPr>
                <w:sz w:val="21"/>
                <w:szCs w:val="21"/>
              </w:rPr>
              <w:t>or if the</w:t>
            </w:r>
            <w:r w:rsidR="00597BDD" w:rsidRPr="00820BC2">
              <w:rPr>
                <w:sz w:val="21"/>
                <w:szCs w:val="21"/>
              </w:rPr>
              <w:t xml:space="preserve"> patient is immunosuppressed/</w:t>
            </w:r>
            <w:r w:rsidRPr="00820BC2">
              <w:rPr>
                <w:sz w:val="21"/>
                <w:szCs w:val="21"/>
              </w:rPr>
              <w:t>otherwise medically compromised, antibiotics can be considered.  Primary treatment is the surgical reso</w:t>
            </w:r>
            <w:r w:rsidR="00E32E06" w:rsidRPr="00820BC2">
              <w:rPr>
                <w:sz w:val="21"/>
                <w:szCs w:val="21"/>
              </w:rPr>
              <w:t>lution of the dental problem; a</w:t>
            </w:r>
            <w:r w:rsidRPr="00820BC2">
              <w:rPr>
                <w:sz w:val="21"/>
                <w:szCs w:val="21"/>
              </w:rPr>
              <w:t>ntibiotics are secondary to that process</w:t>
            </w:r>
            <w:r>
              <w:t>.</w:t>
            </w:r>
          </w:p>
        </w:tc>
      </w:tr>
      <w:tr w:rsidR="00B76EDF" w14:paraId="03B3350A" w14:textId="77777777" w:rsidTr="00526E67">
        <w:tc>
          <w:tcPr>
            <w:tcW w:w="9558" w:type="dxa"/>
            <w:shd w:val="clear" w:color="auto" w:fill="BFBFBF" w:themeFill="background1" w:themeFillShade="BF"/>
          </w:tcPr>
          <w:p w14:paraId="20B2BAC1" w14:textId="77777777" w:rsidR="00B76EDF" w:rsidRPr="00950208" w:rsidRDefault="00B76EDF" w:rsidP="00241DC7">
            <w:pPr>
              <w:rPr>
                <w:b/>
              </w:rPr>
            </w:pPr>
            <w:r w:rsidRPr="00950208">
              <w:rPr>
                <w:b/>
              </w:rPr>
              <w:t xml:space="preserve">Treatment </w:t>
            </w:r>
          </w:p>
        </w:tc>
      </w:tr>
      <w:tr w:rsidR="00F83857" w14:paraId="286AE2FF" w14:textId="77777777" w:rsidTr="00747F17">
        <w:trPr>
          <w:trHeight w:val="7253"/>
        </w:trPr>
        <w:tc>
          <w:tcPr>
            <w:tcW w:w="9558" w:type="dxa"/>
          </w:tcPr>
          <w:p w14:paraId="210BFE02" w14:textId="641C4D3E" w:rsidR="00F83857" w:rsidRPr="00820BC2" w:rsidRDefault="00F83857" w:rsidP="00820BC2">
            <w:pPr>
              <w:rPr>
                <w:sz w:val="21"/>
                <w:szCs w:val="21"/>
              </w:rPr>
            </w:pPr>
            <w:r w:rsidRPr="00820BC2">
              <w:rPr>
                <w:sz w:val="21"/>
                <w:szCs w:val="21"/>
              </w:rPr>
              <w:t xml:space="preserve">When pulpotomy, pulpectomy, nonsurgical root canal treatment, incision for drainage of abscess (Definitive, Conservative Dental Treatment or DCDT) or extraction are an immediate option (same day), antibiotics are </w:t>
            </w:r>
            <w:r>
              <w:rPr>
                <w:b/>
                <w:sz w:val="21"/>
                <w:szCs w:val="21"/>
                <w:u w:val="single"/>
              </w:rPr>
              <w:t>not indicated</w:t>
            </w:r>
            <w:r w:rsidRPr="00820BC2">
              <w:rPr>
                <w:sz w:val="21"/>
                <w:szCs w:val="21"/>
              </w:rPr>
              <w:t xml:space="preserve"> </w:t>
            </w:r>
            <w:r>
              <w:rPr>
                <w:sz w:val="21"/>
                <w:szCs w:val="21"/>
              </w:rPr>
              <w:t xml:space="preserve">as </w:t>
            </w:r>
            <w:r w:rsidRPr="00820BC2">
              <w:rPr>
                <w:sz w:val="21"/>
                <w:szCs w:val="21"/>
              </w:rPr>
              <w:t>adjunct to care in most</w:t>
            </w:r>
            <w:r>
              <w:rPr>
                <w:sz w:val="21"/>
                <w:szCs w:val="21"/>
              </w:rPr>
              <w:t>ly all</w:t>
            </w:r>
            <w:r w:rsidRPr="00820BC2">
              <w:rPr>
                <w:sz w:val="21"/>
                <w:szCs w:val="21"/>
              </w:rPr>
              <w:t xml:space="preserve"> cases.  </w:t>
            </w:r>
          </w:p>
          <w:p w14:paraId="4891EBB3" w14:textId="27D693A2" w:rsidR="00F83857" w:rsidRPr="00747F17" w:rsidRDefault="00F83857" w:rsidP="00241DC7">
            <w:pPr>
              <w:pStyle w:val="ListParagraph"/>
              <w:numPr>
                <w:ilvl w:val="0"/>
                <w:numId w:val="1"/>
              </w:numPr>
            </w:pPr>
            <w:r w:rsidRPr="00820BC2">
              <w:rPr>
                <w:b/>
                <w:sz w:val="21"/>
                <w:szCs w:val="21"/>
                <w:u w:val="single"/>
              </w:rPr>
              <w:t>Do not</w:t>
            </w:r>
            <w:r w:rsidRPr="00820BC2">
              <w:rPr>
                <w:sz w:val="21"/>
                <w:szCs w:val="21"/>
              </w:rPr>
              <w:t xml:space="preserve"> prescribe oral systemic antibiotics as adjunct to DCDT or extraction for immunocompetent adults with irreversible pulpitis, pulp necrosis, and symptomatic apical periodontitis or localized acute apical abscess unless they present with extraoral or severe intraoral swelling, and/or exhibit signs of </w:t>
            </w:r>
            <w:r w:rsidRPr="00F83857">
              <w:rPr>
                <w:sz w:val="21"/>
                <w:szCs w:val="21"/>
              </w:rPr>
              <w:t>systemic illness.</w:t>
            </w:r>
            <w:r>
              <w:t xml:space="preserve"> </w:t>
            </w:r>
          </w:p>
          <w:p w14:paraId="0FE80A61" w14:textId="6DEA81B2" w:rsidR="00F83857" w:rsidRPr="00412E10" w:rsidRDefault="00F83857" w:rsidP="00241DC7">
            <w:pPr>
              <w:rPr>
                <w:sz w:val="21"/>
                <w:szCs w:val="21"/>
              </w:rPr>
            </w:pPr>
            <w:r w:rsidRPr="00412E10">
              <w:rPr>
                <w:sz w:val="21"/>
                <w:szCs w:val="21"/>
              </w:rPr>
              <w:t>Evidence suggests that nonsteroidal anti-inflammatory drugs such as ibuprofen 400-600mg PO QID with meals and at bedtime plus acetaminophen 1000mg PO QID combination therapy is effective in managing dental pain.</w:t>
            </w:r>
            <w:r w:rsidRPr="00412E10">
              <w:rPr>
                <w:sz w:val="21"/>
                <w:szCs w:val="21"/>
                <w:vertAlign w:val="superscript"/>
              </w:rPr>
              <w:t>3</w:t>
            </w:r>
            <w:r>
              <w:rPr>
                <w:sz w:val="21"/>
                <w:szCs w:val="21"/>
                <w:vertAlign w:val="superscript"/>
              </w:rPr>
              <w:t>, 7</w:t>
            </w:r>
            <w:r w:rsidRPr="00412E10">
              <w:rPr>
                <w:sz w:val="21"/>
                <w:szCs w:val="21"/>
              </w:rPr>
              <w:t xml:space="preserve">  </w:t>
            </w:r>
          </w:p>
          <w:p w14:paraId="440AC72F" w14:textId="587E6D51" w:rsidR="00F83857" w:rsidRPr="00412E10" w:rsidRDefault="00F83857" w:rsidP="00241DC7">
            <w:pPr>
              <w:rPr>
                <w:sz w:val="21"/>
                <w:szCs w:val="21"/>
              </w:rPr>
            </w:pPr>
            <w:r w:rsidRPr="00412E10">
              <w:rPr>
                <w:sz w:val="21"/>
                <w:szCs w:val="21"/>
              </w:rPr>
              <w:t xml:space="preserve">The types of bacterial organisms associated with oral infections </w:t>
            </w:r>
            <w:r>
              <w:rPr>
                <w:sz w:val="21"/>
                <w:szCs w:val="21"/>
              </w:rPr>
              <w:t xml:space="preserve">are relatively limited, and the </w:t>
            </w:r>
            <w:proofErr w:type="gramStart"/>
            <w:r>
              <w:rPr>
                <w:sz w:val="21"/>
                <w:szCs w:val="21"/>
              </w:rPr>
              <w:t>majority are</w:t>
            </w:r>
            <w:proofErr w:type="gramEnd"/>
            <w:r w:rsidRPr="00412E10">
              <w:rPr>
                <w:sz w:val="21"/>
                <w:szCs w:val="21"/>
              </w:rPr>
              <w:t xml:space="preserve"> sensitive to penicillins.  Based on this, the drugs of choice are:  amoxicillin 500mg PO TID for 3-7 days (or alternatively penicillin V potassium 500mg PO QID for 3-7 days).  Although both amoxicillin and penicillin are first-line treatment, amoxicillin is preferred over penicillin because it is more effective against various gram-negative anaerobes and its lower incidence of gastrointestinal side effects.  </w:t>
            </w:r>
          </w:p>
          <w:p w14:paraId="3F35BA98" w14:textId="0534AC99" w:rsidR="00F83857" w:rsidRPr="00412E10" w:rsidRDefault="00F83857" w:rsidP="00241DC7">
            <w:pPr>
              <w:rPr>
                <w:sz w:val="21"/>
                <w:szCs w:val="21"/>
              </w:rPr>
            </w:pPr>
            <w:r w:rsidRPr="00412E10">
              <w:rPr>
                <w:sz w:val="21"/>
                <w:szCs w:val="21"/>
              </w:rPr>
              <w:t>As an alternative for patients with a history of penicillin allergy, but without a history of anaphylaxis, angioedema, or hives with penicillin, ampicillin, or amoxicillin, prescribe cephalexin 500mg PO QID for 3-7 days.</w:t>
            </w:r>
            <w:r w:rsidRPr="00412E10">
              <w:rPr>
                <w:sz w:val="21"/>
                <w:szCs w:val="21"/>
                <w:vertAlign w:val="superscript"/>
              </w:rPr>
              <w:t>8</w:t>
            </w:r>
            <w:r w:rsidRPr="00412E10">
              <w:rPr>
                <w:sz w:val="21"/>
                <w:szCs w:val="21"/>
              </w:rPr>
              <w:t xml:space="preserve">  Dentists should have a low threshold to add metronidazole to cephalexin therapy in patients with a delayed response to antibiotics.  For an alternative for patients with a severe reaction to penicillin, ampicillin, or amoxicillin (anaphylaxis, angioedema, or hives) prescribe azithromycin 500mg PO x1, then 250mg for 4 days.  Bacterial resistance rates for azithromycin are higher than for other antibiotics.  Alternative to a beta-lactam or azithromycin is clindamycin 300mg PO QID for 3-7 days.  Clindamycin substantially increases the risk of developing </w:t>
            </w:r>
            <w:r w:rsidRPr="00412E10">
              <w:rPr>
                <w:i/>
                <w:sz w:val="21"/>
                <w:szCs w:val="21"/>
              </w:rPr>
              <w:t>Clostridioides difficile</w:t>
            </w:r>
            <w:r w:rsidRPr="00412E10">
              <w:rPr>
                <w:sz w:val="21"/>
                <w:szCs w:val="21"/>
              </w:rPr>
              <w:t xml:space="preserve"> infection, even after a single dose.</w:t>
            </w:r>
            <w:r w:rsidRPr="00412E10">
              <w:rPr>
                <w:sz w:val="21"/>
                <w:szCs w:val="21"/>
                <w:vertAlign w:val="superscript"/>
              </w:rPr>
              <w:t>9</w:t>
            </w:r>
            <w:r w:rsidRPr="00412E10">
              <w:rPr>
                <w:sz w:val="21"/>
                <w:szCs w:val="21"/>
              </w:rPr>
              <w:t xml:space="preserve"> </w:t>
            </w:r>
          </w:p>
          <w:p w14:paraId="61377AB2" w14:textId="0B4435C2" w:rsidR="00F83857" w:rsidRDefault="00F83857" w:rsidP="00412C6C">
            <w:r w:rsidRPr="00412E10">
              <w:rPr>
                <w:sz w:val="21"/>
                <w:szCs w:val="21"/>
              </w:rPr>
              <w:t xml:space="preserve">Dentists should reevaluate patients within 3 days (for example, in-person visit or phone call). </w:t>
            </w:r>
            <w:r w:rsidRPr="00412E10">
              <w:rPr>
                <w:b/>
                <w:sz w:val="21"/>
                <w:szCs w:val="21"/>
              </w:rPr>
              <w:t xml:space="preserve">Dentists should instruct patients to discontinue antibiotics 24 after symptoms resolve, irrespective of reevaluation after 3 days.  </w:t>
            </w:r>
            <w:r w:rsidRPr="00412E10">
              <w:rPr>
                <w:sz w:val="21"/>
                <w:szCs w:val="21"/>
              </w:rPr>
              <w:t>In cases that failed to respond to amoxicillin or penicillin, consider broadening antibiotic therapy to either complement first-line treatment with metronidazole 500mg PO TID for 7 days or discontinue first-line treatment and prescribe amoxicillin-clavulanate 500mg/125mg PO TID for 7 days.</w:t>
            </w:r>
            <w:r>
              <w:t xml:space="preserve">  </w:t>
            </w:r>
          </w:p>
        </w:tc>
      </w:tr>
      <w:tr w:rsidR="00B76EDF" w14:paraId="17F7AC51" w14:textId="77777777" w:rsidTr="00526E67">
        <w:tc>
          <w:tcPr>
            <w:tcW w:w="9558" w:type="dxa"/>
            <w:shd w:val="clear" w:color="auto" w:fill="00B0F0"/>
          </w:tcPr>
          <w:p w14:paraId="1E7C0C7C" w14:textId="1785A679" w:rsidR="00B76EDF" w:rsidRPr="00784E97" w:rsidRDefault="000943F7" w:rsidP="00784E97">
            <w:pPr>
              <w:rPr>
                <w:b/>
                <w:color w:val="FFFFFF" w:themeColor="background1"/>
                <w:sz w:val="24"/>
                <w:szCs w:val="24"/>
                <w:vertAlign w:val="superscript"/>
              </w:rPr>
            </w:pPr>
            <w:r>
              <w:rPr>
                <w:b/>
                <w:color w:val="FFFFFF" w:themeColor="background1"/>
                <w:sz w:val="24"/>
                <w:szCs w:val="24"/>
              </w:rPr>
              <w:t xml:space="preserve">#2) </w:t>
            </w:r>
            <w:r w:rsidR="00A133A0" w:rsidRPr="00EB4498">
              <w:rPr>
                <w:b/>
                <w:color w:val="FFFFFF" w:themeColor="background1"/>
                <w:sz w:val="24"/>
                <w:szCs w:val="24"/>
              </w:rPr>
              <w:t>Acute Pericoronitis</w:t>
            </w:r>
            <w:r w:rsidR="00883C82">
              <w:rPr>
                <w:b/>
                <w:color w:val="FFFFFF" w:themeColor="background1"/>
                <w:sz w:val="24"/>
                <w:szCs w:val="24"/>
                <w:vertAlign w:val="superscript"/>
              </w:rPr>
              <w:t>10-11</w:t>
            </w:r>
            <w:r w:rsidR="00A133A0" w:rsidRPr="00EB4498">
              <w:rPr>
                <w:b/>
                <w:color w:val="FFFFFF" w:themeColor="background1"/>
                <w:sz w:val="24"/>
                <w:szCs w:val="24"/>
              </w:rPr>
              <w:t xml:space="preserve"> </w:t>
            </w:r>
          </w:p>
        </w:tc>
      </w:tr>
      <w:tr w:rsidR="00B76EDF" w14:paraId="2650ACB7" w14:textId="77777777" w:rsidTr="00526E67">
        <w:tc>
          <w:tcPr>
            <w:tcW w:w="9558" w:type="dxa"/>
            <w:shd w:val="clear" w:color="auto" w:fill="BFBFBF" w:themeFill="background1" w:themeFillShade="BF"/>
          </w:tcPr>
          <w:p w14:paraId="139A6CE8" w14:textId="77777777" w:rsidR="00B76EDF" w:rsidRPr="00C160B5" w:rsidRDefault="00B76EDF" w:rsidP="00241DC7">
            <w:pPr>
              <w:rPr>
                <w:b/>
              </w:rPr>
            </w:pPr>
            <w:r w:rsidRPr="00C160B5">
              <w:rPr>
                <w:b/>
              </w:rPr>
              <w:t>Management</w:t>
            </w:r>
          </w:p>
        </w:tc>
      </w:tr>
      <w:tr w:rsidR="00B76EDF" w14:paraId="69CB0878" w14:textId="77777777" w:rsidTr="00526E67">
        <w:tc>
          <w:tcPr>
            <w:tcW w:w="9558" w:type="dxa"/>
          </w:tcPr>
          <w:p w14:paraId="7FFEB74D" w14:textId="3579E8C4" w:rsidR="00B76EDF" w:rsidRPr="00883C82" w:rsidRDefault="00A133A0" w:rsidP="00784E97">
            <w:pPr>
              <w:rPr>
                <w:sz w:val="21"/>
                <w:szCs w:val="21"/>
              </w:rPr>
            </w:pPr>
            <w:r w:rsidRPr="00883C82">
              <w:rPr>
                <w:sz w:val="21"/>
                <w:szCs w:val="21"/>
              </w:rPr>
              <w:t>Acute Pericoronitis is treated with local measures unless there is facial swelling, tr</w:t>
            </w:r>
            <w:r w:rsidR="00784E97" w:rsidRPr="00883C82">
              <w:rPr>
                <w:sz w:val="21"/>
                <w:szCs w:val="21"/>
              </w:rPr>
              <w:t>ismus or</w:t>
            </w:r>
            <w:r w:rsidRPr="00883C82">
              <w:rPr>
                <w:sz w:val="21"/>
                <w:szCs w:val="21"/>
              </w:rPr>
              <w:t xml:space="preserve"> systemic involvement</w:t>
            </w:r>
            <w:r w:rsidR="00AF5B6F">
              <w:rPr>
                <w:sz w:val="21"/>
                <w:szCs w:val="21"/>
              </w:rPr>
              <w:t xml:space="preserve"> (such as fever and malaise)</w:t>
            </w:r>
            <w:r w:rsidR="00B76EDF" w:rsidRPr="00883C82">
              <w:rPr>
                <w:sz w:val="21"/>
                <w:szCs w:val="21"/>
              </w:rPr>
              <w:t xml:space="preserve">.  </w:t>
            </w:r>
          </w:p>
        </w:tc>
      </w:tr>
      <w:tr w:rsidR="00B76EDF" w14:paraId="7ABDE943" w14:textId="77777777" w:rsidTr="00526E67">
        <w:tc>
          <w:tcPr>
            <w:tcW w:w="9558" w:type="dxa"/>
            <w:shd w:val="clear" w:color="auto" w:fill="BFBFBF" w:themeFill="background1" w:themeFillShade="BF"/>
          </w:tcPr>
          <w:p w14:paraId="2D10DB68" w14:textId="77777777" w:rsidR="00B76EDF" w:rsidRPr="00C160B5" w:rsidRDefault="00B76EDF" w:rsidP="00241DC7">
            <w:pPr>
              <w:rPr>
                <w:b/>
              </w:rPr>
            </w:pPr>
            <w:r w:rsidRPr="00C160B5">
              <w:rPr>
                <w:b/>
              </w:rPr>
              <w:t>Treatment</w:t>
            </w:r>
          </w:p>
        </w:tc>
      </w:tr>
      <w:tr w:rsidR="00B76EDF" w14:paraId="4FEA02CA" w14:textId="77777777" w:rsidTr="00526E67">
        <w:tc>
          <w:tcPr>
            <w:tcW w:w="9558" w:type="dxa"/>
          </w:tcPr>
          <w:p w14:paraId="380E69C0" w14:textId="77777777" w:rsidR="00AF5B6F" w:rsidRDefault="00A133A0" w:rsidP="00A133A0">
            <w:pPr>
              <w:rPr>
                <w:sz w:val="21"/>
                <w:szCs w:val="21"/>
              </w:rPr>
            </w:pPr>
            <w:r w:rsidRPr="007E439F">
              <w:rPr>
                <w:sz w:val="21"/>
                <w:szCs w:val="21"/>
              </w:rPr>
              <w:t xml:space="preserve">Extraction is the treatment of choice if tooth is recommended for removal. If extraction is not performed, treatment for localized tissue swelling and soreness is irrigation in the office and at home.  Adjustment of opposing dentition may be considered if traumatic. </w:t>
            </w:r>
          </w:p>
          <w:p w14:paraId="6598BE94" w14:textId="2FD41FF7" w:rsidR="00012BD9" w:rsidRDefault="00A133A0" w:rsidP="00A133A0">
            <w:pPr>
              <w:rPr>
                <w:sz w:val="21"/>
                <w:szCs w:val="21"/>
              </w:rPr>
            </w:pPr>
            <w:r w:rsidRPr="007E439F">
              <w:rPr>
                <w:sz w:val="21"/>
                <w:szCs w:val="21"/>
              </w:rPr>
              <w:t>For patients with</w:t>
            </w:r>
            <w:r w:rsidR="00AF5B6F">
              <w:rPr>
                <w:sz w:val="21"/>
                <w:szCs w:val="21"/>
              </w:rPr>
              <w:t xml:space="preserve"> localized tissue swelling and soreness,</w:t>
            </w:r>
            <w:r w:rsidRPr="007E439F">
              <w:rPr>
                <w:sz w:val="21"/>
                <w:szCs w:val="21"/>
              </w:rPr>
              <w:t xml:space="preserve"> fever</w:t>
            </w:r>
            <w:r w:rsidR="00AF5B6F">
              <w:rPr>
                <w:sz w:val="21"/>
                <w:szCs w:val="21"/>
              </w:rPr>
              <w:t xml:space="preserve"> &lt; 101</w:t>
            </w:r>
            <w:r w:rsidR="00AF5B6F">
              <w:rPr>
                <w:sz w:val="21"/>
                <w:szCs w:val="21"/>
                <w:vertAlign w:val="superscript"/>
              </w:rPr>
              <w:sym w:font="Symbol" w:char="F0B0"/>
            </w:r>
            <w:r w:rsidR="00AF5B6F">
              <w:rPr>
                <w:sz w:val="21"/>
                <w:szCs w:val="21"/>
                <w:vertAlign w:val="superscript"/>
              </w:rPr>
              <w:t>F</w:t>
            </w:r>
            <w:r w:rsidR="00AF5B6F">
              <w:rPr>
                <w:sz w:val="21"/>
                <w:szCs w:val="21"/>
              </w:rPr>
              <w:t xml:space="preserve">, mild </w:t>
            </w:r>
            <w:r w:rsidRPr="007E439F">
              <w:rPr>
                <w:sz w:val="21"/>
                <w:szCs w:val="21"/>
              </w:rPr>
              <w:t xml:space="preserve">trismus and/or facial swelling, antibiotics are recommended. </w:t>
            </w:r>
            <w:r w:rsidR="00883C82" w:rsidRPr="007E439F">
              <w:rPr>
                <w:sz w:val="21"/>
                <w:szCs w:val="21"/>
              </w:rPr>
              <w:t xml:space="preserve">  </w:t>
            </w:r>
          </w:p>
          <w:p w14:paraId="7CB6E2F0" w14:textId="3F4BB4A6" w:rsidR="00955D44" w:rsidRDefault="00883C82" w:rsidP="00A133A0">
            <w:pPr>
              <w:rPr>
                <w:sz w:val="21"/>
                <w:szCs w:val="21"/>
              </w:rPr>
            </w:pPr>
            <w:r w:rsidRPr="007E439F">
              <w:rPr>
                <w:sz w:val="21"/>
                <w:szCs w:val="21"/>
              </w:rPr>
              <w:t xml:space="preserve">The recommended </w:t>
            </w:r>
            <w:r w:rsidR="00AF5B6F">
              <w:rPr>
                <w:sz w:val="21"/>
                <w:szCs w:val="21"/>
              </w:rPr>
              <w:t xml:space="preserve">systemic antibiotic </w:t>
            </w:r>
            <w:r w:rsidRPr="007E439F">
              <w:rPr>
                <w:sz w:val="21"/>
                <w:szCs w:val="21"/>
              </w:rPr>
              <w:t>regimen is</w:t>
            </w:r>
            <w:r w:rsidR="00955D44">
              <w:rPr>
                <w:sz w:val="21"/>
                <w:szCs w:val="21"/>
              </w:rPr>
              <w:t>:</w:t>
            </w:r>
          </w:p>
          <w:p w14:paraId="31C56500" w14:textId="2D249B0E" w:rsidR="00955D44" w:rsidRDefault="00955D44" w:rsidP="00955D44">
            <w:pPr>
              <w:pStyle w:val="ListParagraph"/>
              <w:numPr>
                <w:ilvl w:val="0"/>
                <w:numId w:val="1"/>
              </w:numPr>
              <w:rPr>
                <w:sz w:val="21"/>
                <w:szCs w:val="21"/>
              </w:rPr>
            </w:pPr>
            <w:r>
              <w:rPr>
                <w:sz w:val="21"/>
                <w:szCs w:val="21"/>
              </w:rPr>
              <w:t>P</w:t>
            </w:r>
            <w:r w:rsidR="00883C82" w:rsidRPr="00955D44">
              <w:rPr>
                <w:sz w:val="21"/>
                <w:szCs w:val="21"/>
              </w:rPr>
              <w:t>enicillin V K 500 mg PO QID (consider a l</w:t>
            </w:r>
            <w:r>
              <w:rPr>
                <w:sz w:val="21"/>
                <w:szCs w:val="21"/>
              </w:rPr>
              <w:t>oading dose of 1,000 mg). Duration is 3-7 days.</w:t>
            </w:r>
          </w:p>
          <w:p w14:paraId="25416010" w14:textId="39C73108" w:rsidR="00B76EDF" w:rsidRDefault="00955D44" w:rsidP="00955D44">
            <w:pPr>
              <w:pStyle w:val="ListParagraph"/>
              <w:numPr>
                <w:ilvl w:val="0"/>
                <w:numId w:val="1"/>
              </w:numPr>
              <w:rPr>
                <w:sz w:val="21"/>
                <w:szCs w:val="21"/>
              </w:rPr>
            </w:pPr>
            <w:r>
              <w:rPr>
                <w:sz w:val="21"/>
                <w:szCs w:val="21"/>
              </w:rPr>
              <w:lastRenderedPageBreak/>
              <w:t>A</w:t>
            </w:r>
            <w:r w:rsidR="00A133A0" w:rsidRPr="00955D44">
              <w:rPr>
                <w:sz w:val="21"/>
                <w:szCs w:val="21"/>
              </w:rPr>
              <w:t>lternativ</w:t>
            </w:r>
            <w:r w:rsidR="005B265C">
              <w:rPr>
                <w:sz w:val="21"/>
                <w:szCs w:val="21"/>
              </w:rPr>
              <w:t>e is clindamycin 300 mg PO TID</w:t>
            </w:r>
            <w:r w:rsidR="00883C82" w:rsidRPr="00955D44">
              <w:rPr>
                <w:sz w:val="21"/>
                <w:szCs w:val="21"/>
              </w:rPr>
              <w:t xml:space="preserve"> (consider</w:t>
            </w:r>
            <w:r w:rsidR="00A133A0" w:rsidRPr="00955D44">
              <w:rPr>
                <w:sz w:val="21"/>
                <w:szCs w:val="21"/>
              </w:rPr>
              <w:t xml:space="preserve"> a loading dose of 600 mg)</w:t>
            </w:r>
            <w:r w:rsidR="0075125D" w:rsidRPr="00955D44">
              <w:rPr>
                <w:sz w:val="21"/>
                <w:szCs w:val="21"/>
              </w:rPr>
              <w:t>.</w:t>
            </w:r>
            <w:r w:rsidR="00A133A0" w:rsidRPr="00955D44">
              <w:rPr>
                <w:sz w:val="21"/>
                <w:szCs w:val="21"/>
              </w:rPr>
              <w:t xml:space="preserve"> </w:t>
            </w:r>
            <w:r w:rsidR="007E439F" w:rsidRPr="00955D44">
              <w:rPr>
                <w:sz w:val="21"/>
                <w:szCs w:val="21"/>
              </w:rPr>
              <w:t>Duration is 3-7 days.</w:t>
            </w:r>
          </w:p>
          <w:p w14:paraId="4939F7F3" w14:textId="253483F3" w:rsidR="00AF5B6F" w:rsidRPr="00AF5B6F" w:rsidRDefault="00AF5B6F" w:rsidP="00AF5B6F">
            <w:pPr>
              <w:rPr>
                <w:sz w:val="21"/>
                <w:szCs w:val="21"/>
              </w:rPr>
            </w:pPr>
            <w:r>
              <w:rPr>
                <w:sz w:val="21"/>
                <w:szCs w:val="21"/>
              </w:rPr>
              <w:t>For patients with symptoms consistent with major systemic involvement (localized tissue swelling and soreness, fever &gt;101</w:t>
            </w:r>
            <w:r>
              <w:rPr>
                <w:sz w:val="21"/>
                <w:szCs w:val="21"/>
                <w:vertAlign w:val="superscript"/>
              </w:rPr>
              <w:sym w:font="Symbol" w:char="F0B0"/>
            </w:r>
            <w:r>
              <w:rPr>
                <w:sz w:val="21"/>
                <w:szCs w:val="21"/>
                <w:vertAlign w:val="superscript"/>
              </w:rPr>
              <w:t>F</w:t>
            </w:r>
            <w:r>
              <w:rPr>
                <w:sz w:val="21"/>
                <w:szCs w:val="21"/>
              </w:rPr>
              <w:t>, severe trismus, facial swelling and/or malaise), immediate referral to an oral and maxillofacial surgeon is warranted.</w:t>
            </w:r>
          </w:p>
        </w:tc>
      </w:tr>
      <w:tr w:rsidR="00B76EDF" w14:paraId="5EC34612" w14:textId="77777777" w:rsidTr="00526E67">
        <w:tc>
          <w:tcPr>
            <w:tcW w:w="9558" w:type="dxa"/>
            <w:shd w:val="clear" w:color="auto" w:fill="00B0F0"/>
          </w:tcPr>
          <w:p w14:paraId="5F79CD3B" w14:textId="7D503C01" w:rsidR="00B76EDF" w:rsidRPr="000C30E1" w:rsidRDefault="000943F7" w:rsidP="00241DC7">
            <w:pPr>
              <w:rPr>
                <w:color w:val="FFFFFF" w:themeColor="background1"/>
                <w:sz w:val="24"/>
                <w:szCs w:val="24"/>
                <w:vertAlign w:val="superscript"/>
              </w:rPr>
            </w:pPr>
            <w:r>
              <w:rPr>
                <w:b/>
                <w:color w:val="FFFFFF" w:themeColor="background1"/>
                <w:sz w:val="24"/>
                <w:szCs w:val="24"/>
              </w:rPr>
              <w:lastRenderedPageBreak/>
              <w:t xml:space="preserve">#3) </w:t>
            </w:r>
            <w:r w:rsidR="00B76EDF" w:rsidRPr="000C30E1">
              <w:rPr>
                <w:b/>
                <w:color w:val="FFFFFF" w:themeColor="background1"/>
                <w:sz w:val="24"/>
                <w:szCs w:val="24"/>
              </w:rPr>
              <w:t>Sinus infection that presents with dental symptoms:</w:t>
            </w:r>
            <w:r w:rsidR="00B76EDF" w:rsidRPr="000C30E1">
              <w:rPr>
                <w:color w:val="FFFFFF" w:themeColor="background1"/>
                <w:sz w:val="24"/>
                <w:szCs w:val="24"/>
                <w:vertAlign w:val="superscript"/>
              </w:rPr>
              <w:t>5</w:t>
            </w:r>
          </w:p>
        </w:tc>
      </w:tr>
      <w:tr w:rsidR="00B76EDF" w14:paraId="0B8BE146" w14:textId="77777777" w:rsidTr="00526E67">
        <w:tc>
          <w:tcPr>
            <w:tcW w:w="9558" w:type="dxa"/>
            <w:shd w:val="clear" w:color="auto" w:fill="BFBFBF" w:themeFill="background1" w:themeFillShade="BF"/>
          </w:tcPr>
          <w:p w14:paraId="04640120" w14:textId="77777777" w:rsidR="00B76EDF" w:rsidRPr="000C30E1" w:rsidRDefault="00B76EDF" w:rsidP="00241DC7">
            <w:pPr>
              <w:rPr>
                <w:b/>
              </w:rPr>
            </w:pPr>
            <w:r w:rsidRPr="000C30E1">
              <w:rPr>
                <w:b/>
              </w:rPr>
              <w:t>Management</w:t>
            </w:r>
          </w:p>
        </w:tc>
      </w:tr>
      <w:tr w:rsidR="00B76EDF" w14:paraId="1A8419BF" w14:textId="77777777" w:rsidTr="00526E67">
        <w:tc>
          <w:tcPr>
            <w:tcW w:w="9558" w:type="dxa"/>
          </w:tcPr>
          <w:p w14:paraId="104DFA32" w14:textId="77777777" w:rsidR="00B76EDF" w:rsidRPr="007E439F" w:rsidRDefault="00B76EDF" w:rsidP="0072103A">
            <w:pPr>
              <w:rPr>
                <w:sz w:val="21"/>
                <w:szCs w:val="21"/>
              </w:rPr>
            </w:pPr>
            <w:r w:rsidRPr="007E439F">
              <w:rPr>
                <w:sz w:val="21"/>
                <w:szCs w:val="21"/>
              </w:rPr>
              <w:t xml:space="preserve">After a detailed dental examination and appropriate periapical radiograph(s), if there is no evidence of dental pathology, then it is unlikely the sinus pain is coming from a dental source.  </w:t>
            </w:r>
          </w:p>
        </w:tc>
      </w:tr>
      <w:tr w:rsidR="00B76EDF" w14:paraId="1CAB8263" w14:textId="77777777" w:rsidTr="00526E67">
        <w:tc>
          <w:tcPr>
            <w:tcW w:w="9558" w:type="dxa"/>
            <w:shd w:val="clear" w:color="auto" w:fill="BFBFBF" w:themeFill="background1" w:themeFillShade="BF"/>
          </w:tcPr>
          <w:p w14:paraId="58DC7619" w14:textId="77777777" w:rsidR="00B76EDF" w:rsidRPr="000C30E1" w:rsidRDefault="00B76EDF" w:rsidP="00241DC7">
            <w:pPr>
              <w:rPr>
                <w:b/>
              </w:rPr>
            </w:pPr>
            <w:r w:rsidRPr="000C30E1">
              <w:rPr>
                <w:b/>
              </w:rPr>
              <w:t xml:space="preserve">Treatment </w:t>
            </w:r>
          </w:p>
        </w:tc>
      </w:tr>
      <w:tr w:rsidR="00B76EDF" w14:paraId="2D6A7172" w14:textId="77777777" w:rsidTr="00526E67">
        <w:tc>
          <w:tcPr>
            <w:tcW w:w="9558" w:type="dxa"/>
          </w:tcPr>
          <w:p w14:paraId="7AB5D99E" w14:textId="2078D723" w:rsidR="00B76EDF" w:rsidRPr="007E439F" w:rsidRDefault="00B76EDF" w:rsidP="00B1074F">
            <w:pPr>
              <w:rPr>
                <w:sz w:val="21"/>
                <w:szCs w:val="21"/>
              </w:rPr>
            </w:pPr>
            <w:r w:rsidRPr="007E439F">
              <w:rPr>
                <w:sz w:val="21"/>
                <w:szCs w:val="21"/>
              </w:rPr>
              <w:t xml:space="preserve">Treating sinus pain with antibiotics as a means of ruling out a dental etiology is not appropriate.  Sinus infections are </w:t>
            </w:r>
            <w:r w:rsidR="00B1074F">
              <w:rPr>
                <w:sz w:val="21"/>
                <w:szCs w:val="21"/>
              </w:rPr>
              <w:t xml:space="preserve">most </w:t>
            </w:r>
            <w:r w:rsidRPr="007E439F">
              <w:rPr>
                <w:sz w:val="21"/>
                <w:szCs w:val="21"/>
              </w:rPr>
              <w:t>often viral and will impr</w:t>
            </w:r>
            <w:r w:rsidR="00B1074F">
              <w:rPr>
                <w:sz w:val="21"/>
                <w:szCs w:val="21"/>
              </w:rPr>
              <w:t xml:space="preserve">ove without use of antibiotics.  </w:t>
            </w:r>
            <w:r w:rsidR="00D8361E" w:rsidRPr="007E439F">
              <w:rPr>
                <w:sz w:val="21"/>
                <w:szCs w:val="21"/>
              </w:rPr>
              <w:t xml:space="preserve">The patient should be referred to </w:t>
            </w:r>
            <w:r w:rsidR="00C160B5" w:rsidRPr="007E439F">
              <w:rPr>
                <w:sz w:val="21"/>
                <w:szCs w:val="21"/>
              </w:rPr>
              <w:t>the</w:t>
            </w:r>
            <w:r w:rsidR="00BF1D17">
              <w:rPr>
                <w:sz w:val="21"/>
                <w:szCs w:val="21"/>
              </w:rPr>
              <w:t>ir</w:t>
            </w:r>
            <w:r w:rsidR="00C160B5" w:rsidRPr="007E439F">
              <w:rPr>
                <w:sz w:val="21"/>
                <w:szCs w:val="21"/>
              </w:rPr>
              <w:t xml:space="preserve"> </w:t>
            </w:r>
            <w:r w:rsidR="00B1074F">
              <w:rPr>
                <w:sz w:val="21"/>
                <w:szCs w:val="21"/>
              </w:rPr>
              <w:t>Primary Care Provider for further management.</w:t>
            </w:r>
          </w:p>
        </w:tc>
      </w:tr>
      <w:tr w:rsidR="00B1074F" w14:paraId="1E7CD7D0" w14:textId="77777777" w:rsidTr="00526E67">
        <w:tc>
          <w:tcPr>
            <w:tcW w:w="9558" w:type="dxa"/>
            <w:shd w:val="clear" w:color="auto" w:fill="00B0F0"/>
          </w:tcPr>
          <w:p w14:paraId="5085222C" w14:textId="0A1B0095" w:rsidR="00B1074F" w:rsidRPr="00B1074F" w:rsidRDefault="000943F7" w:rsidP="0072103A">
            <w:pPr>
              <w:rPr>
                <w:b/>
                <w:color w:val="FFFFFF" w:themeColor="background1"/>
                <w:sz w:val="24"/>
                <w:szCs w:val="24"/>
                <w:vertAlign w:val="superscript"/>
              </w:rPr>
            </w:pPr>
            <w:r>
              <w:rPr>
                <w:b/>
                <w:color w:val="FFFFFF" w:themeColor="background1"/>
                <w:sz w:val="24"/>
                <w:szCs w:val="24"/>
              </w:rPr>
              <w:t xml:space="preserve">#4) </w:t>
            </w:r>
            <w:r w:rsidR="00B1074F" w:rsidRPr="00B1074F">
              <w:rPr>
                <w:b/>
                <w:color w:val="FFFFFF" w:themeColor="background1"/>
                <w:sz w:val="24"/>
                <w:szCs w:val="24"/>
              </w:rPr>
              <w:t>Chronic periodontal disease:</w:t>
            </w:r>
            <w:r w:rsidR="00B1074F" w:rsidRPr="00B1074F">
              <w:rPr>
                <w:b/>
                <w:color w:val="FFFFFF" w:themeColor="background1"/>
                <w:sz w:val="24"/>
                <w:szCs w:val="24"/>
                <w:vertAlign w:val="superscript"/>
              </w:rPr>
              <w:t>5</w:t>
            </w:r>
          </w:p>
        </w:tc>
      </w:tr>
      <w:tr w:rsidR="00B1074F" w14:paraId="05BA8B0D" w14:textId="77777777" w:rsidTr="00526E67">
        <w:tc>
          <w:tcPr>
            <w:tcW w:w="9558" w:type="dxa"/>
            <w:shd w:val="clear" w:color="auto" w:fill="BFBFBF" w:themeFill="background1" w:themeFillShade="BF"/>
          </w:tcPr>
          <w:p w14:paraId="36701AA2" w14:textId="726F091C" w:rsidR="00B1074F" w:rsidRPr="00B1074F" w:rsidRDefault="00C23B29" w:rsidP="0072103A">
            <w:pPr>
              <w:rPr>
                <w:b/>
                <w:sz w:val="21"/>
                <w:szCs w:val="21"/>
              </w:rPr>
            </w:pPr>
            <w:r>
              <w:rPr>
                <w:b/>
                <w:sz w:val="21"/>
                <w:szCs w:val="21"/>
              </w:rPr>
              <w:t>Management/Treatment</w:t>
            </w:r>
          </w:p>
        </w:tc>
      </w:tr>
      <w:tr w:rsidR="00B1074F" w14:paraId="44B32CB6" w14:textId="77777777" w:rsidTr="00526E67">
        <w:tc>
          <w:tcPr>
            <w:tcW w:w="9558" w:type="dxa"/>
            <w:shd w:val="clear" w:color="auto" w:fill="auto"/>
          </w:tcPr>
          <w:p w14:paraId="0389489C" w14:textId="6D22EC0E" w:rsidR="00B1074F" w:rsidRPr="00B1074F" w:rsidRDefault="00B1074F" w:rsidP="0072103A">
            <w:pPr>
              <w:rPr>
                <w:sz w:val="21"/>
                <w:szCs w:val="21"/>
              </w:rPr>
            </w:pPr>
            <w:r>
              <w:rPr>
                <w:sz w:val="21"/>
                <w:szCs w:val="21"/>
              </w:rPr>
              <w:t>Chronic periodontal disease is not amendable to antibiotic management.  Management includes mechanical cleaning, and maintaining a long-term healthy oral environment is essential.</w:t>
            </w:r>
          </w:p>
        </w:tc>
      </w:tr>
    </w:tbl>
    <w:p w14:paraId="37CCDD68" w14:textId="77777777" w:rsidR="00B76EDF" w:rsidRDefault="00B76EDF" w:rsidP="007E439F">
      <w:pPr>
        <w:spacing w:after="0" w:line="240" w:lineRule="auto"/>
        <w:rPr>
          <w:b/>
        </w:rPr>
      </w:pPr>
    </w:p>
    <w:tbl>
      <w:tblPr>
        <w:tblStyle w:val="TableGrid"/>
        <w:tblpPr w:leftFromText="180" w:rightFromText="180" w:vertAnchor="text" w:horzAnchor="margin" w:tblpY="61"/>
        <w:tblW w:w="0" w:type="auto"/>
        <w:tblLook w:val="04A0" w:firstRow="1" w:lastRow="0" w:firstColumn="1" w:lastColumn="0" w:noHBand="0" w:noVBand="1"/>
      </w:tblPr>
      <w:tblGrid>
        <w:gridCol w:w="9558"/>
      </w:tblGrid>
      <w:tr w:rsidR="00F83857" w14:paraId="15610456" w14:textId="77777777" w:rsidTr="00F83857">
        <w:tc>
          <w:tcPr>
            <w:tcW w:w="9558" w:type="dxa"/>
            <w:shd w:val="clear" w:color="auto" w:fill="00B0F0"/>
          </w:tcPr>
          <w:p w14:paraId="275F7D92" w14:textId="77777777" w:rsidR="00F83857" w:rsidRPr="007D41EB" w:rsidRDefault="00F83857" w:rsidP="003E438C">
            <w:pPr>
              <w:jc w:val="center"/>
              <w:rPr>
                <w:b/>
                <w:sz w:val="28"/>
                <w:szCs w:val="28"/>
              </w:rPr>
            </w:pPr>
            <w:r w:rsidRPr="007D41EB">
              <w:rPr>
                <w:b/>
                <w:color w:val="FFFFFF" w:themeColor="background1"/>
                <w:sz w:val="28"/>
                <w:szCs w:val="28"/>
              </w:rPr>
              <w:t>PROPHYLAXIS REGIMENS</w:t>
            </w:r>
          </w:p>
        </w:tc>
      </w:tr>
    </w:tbl>
    <w:p w14:paraId="2CCC3E68" w14:textId="77777777" w:rsidR="00F83857" w:rsidRDefault="00F83857" w:rsidP="007E439F">
      <w:pPr>
        <w:spacing w:after="0" w:line="240" w:lineRule="auto"/>
        <w:rPr>
          <w:b/>
        </w:rPr>
      </w:pPr>
    </w:p>
    <w:tbl>
      <w:tblPr>
        <w:tblStyle w:val="TableGrid"/>
        <w:tblW w:w="9558" w:type="dxa"/>
        <w:tblLook w:val="04A0" w:firstRow="1" w:lastRow="0" w:firstColumn="1" w:lastColumn="0" w:noHBand="0" w:noVBand="1"/>
      </w:tblPr>
      <w:tblGrid>
        <w:gridCol w:w="9558"/>
      </w:tblGrid>
      <w:tr w:rsidR="00B76EDF" w14:paraId="1CDBF59F" w14:textId="77777777" w:rsidTr="00F83857">
        <w:tc>
          <w:tcPr>
            <w:tcW w:w="9558" w:type="dxa"/>
            <w:shd w:val="clear" w:color="auto" w:fill="00B0F0"/>
          </w:tcPr>
          <w:p w14:paraId="4956AA9C" w14:textId="685CD20C" w:rsidR="00B76EDF" w:rsidRPr="00544432" w:rsidRDefault="000943F7" w:rsidP="006A5AEF">
            <w:pPr>
              <w:rPr>
                <w:sz w:val="24"/>
                <w:szCs w:val="24"/>
                <w:vertAlign w:val="superscript"/>
              </w:rPr>
            </w:pPr>
            <w:r>
              <w:rPr>
                <w:b/>
                <w:color w:val="FFFFFF" w:themeColor="background1"/>
                <w:sz w:val="24"/>
                <w:szCs w:val="24"/>
              </w:rPr>
              <w:t xml:space="preserve">#1) </w:t>
            </w:r>
            <w:r w:rsidR="00B76EDF" w:rsidRPr="00544432">
              <w:rPr>
                <w:b/>
                <w:color w:val="FFFFFF" w:themeColor="background1"/>
                <w:sz w:val="24"/>
                <w:szCs w:val="24"/>
              </w:rPr>
              <w:t xml:space="preserve">Prophylaxis to prevent </w:t>
            </w:r>
            <w:r w:rsidR="005D2067">
              <w:rPr>
                <w:b/>
                <w:color w:val="FFFFFF" w:themeColor="background1"/>
                <w:sz w:val="24"/>
                <w:szCs w:val="24"/>
              </w:rPr>
              <w:t xml:space="preserve">surgical </w:t>
            </w:r>
            <w:r w:rsidR="00B76EDF" w:rsidRPr="00544432">
              <w:rPr>
                <w:b/>
                <w:color w:val="FFFFFF" w:themeColor="background1"/>
                <w:sz w:val="24"/>
                <w:szCs w:val="24"/>
              </w:rPr>
              <w:t>site infection</w:t>
            </w:r>
            <w:r w:rsidR="005D2067">
              <w:rPr>
                <w:b/>
                <w:color w:val="FFFFFF" w:themeColor="background1"/>
                <w:sz w:val="24"/>
                <w:szCs w:val="24"/>
              </w:rPr>
              <w:t>s</w:t>
            </w:r>
            <w:r w:rsidR="00B76EDF" w:rsidRPr="00544432">
              <w:rPr>
                <w:b/>
                <w:color w:val="FFFFFF" w:themeColor="background1"/>
                <w:sz w:val="24"/>
                <w:szCs w:val="24"/>
              </w:rPr>
              <w:t>:</w:t>
            </w:r>
            <w:r w:rsidR="00B76EDF" w:rsidRPr="00544432">
              <w:rPr>
                <w:color w:val="FFFFFF" w:themeColor="background1"/>
                <w:sz w:val="24"/>
                <w:szCs w:val="24"/>
                <w:vertAlign w:val="superscript"/>
              </w:rPr>
              <w:t>5</w:t>
            </w:r>
          </w:p>
        </w:tc>
      </w:tr>
      <w:tr w:rsidR="00B76EDF" w14:paraId="3B6978CA" w14:textId="77777777" w:rsidTr="00F83857">
        <w:tc>
          <w:tcPr>
            <w:tcW w:w="9558" w:type="dxa"/>
            <w:shd w:val="clear" w:color="auto" w:fill="BFBFBF" w:themeFill="background1" w:themeFillShade="BF"/>
          </w:tcPr>
          <w:p w14:paraId="3D6A8B29" w14:textId="28BD58CE" w:rsidR="00B76EDF" w:rsidRDefault="00C23B29" w:rsidP="00241DC7">
            <w:pPr>
              <w:rPr>
                <w:b/>
              </w:rPr>
            </w:pPr>
            <w:r>
              <w:rPr>
                <w:b/>
              </w:rPr>
              <w:t>Management/</w:t>
            </w:r>
            <w:r w:rsidR="00B76EDF">
              <w:rPr>
                <w:b/>
              </w:rPr>
              <w:t xml:space="preserve">Treatment </w:t>
            </w:r>
          </w:p>
        </w:tc>
      </w:tr>
      <w:tr w:rsidR="00B76EDF" w14:paraId="6A98C4B2" w14:textId="77777777" w:rsidTr="00F83857">
        <w:tc>
          <w:tcPr>
            <w:tcW w:w="9558" w:type="dxa"/>
          </w:tcPr>
          <w:p w14:paraId="570DD1A1" w14:textId="5B0A3264" w:rsidR="00F83857" w:rsidRDefault="0071690B">
            <w:pPr>
              <w:rPr>
                <w:sz w:val="21"/>
                <w:szCs w:val="21"/>
              </w:rPr>
            </w:pPr>
            <w:r>
              <w:rPr>
                <w:sz w:val="21"/>
                <w:szCs w:val="21"/>
              </w:rPr>
              <w:t xml:space="preserve">In general, </w:t>
            </w:r>
            <w:r w:rsidR="00B76EDF" w:rsidRPr="007E439F">
              <w:rPr>
                <w:sz w:val="21"/>
                <w:szCs w:val="21"/>
              </w:rPr>
              <w:t xml:space="preserve">literature does not support the use of antibiotics prophylactically to prevent local infections in tissues </w:t>
            </w:r>
            <w:r w:rsidR="006A5AEF">
              <w:rPr>
                <w:sz w:val="21"/>
                <w:szCs w:val="21"/>
              </w:rPr>
              <w:t>proximal/</w:t>
            </w:r>
            <w:r w:rsidR="00B76EDF" w:rsidRPr="007E439F">
              <w:rPr>
                <w:sz w:val="21"/>
                <w:szCs w:val="21"/>
              </w:rPr>
              <w:t>adjacent to a surgical or dental procedural site, such as a dental extraction, endodontic procedure or an implant placement</w:t>
            </w:r>
            <w:r w:rsidR="00060A90">
              <w:rPr>
                <w:sz w:val="21"/>
                <w:szCs w:val="21"/>
              </w:rPr>
              <w:t xml:space="preserve">. </w:t>
            </w:r>
            <w:r w:rsidR="00D8361E" w:rsidRPr="007E439F">
              <w:rPr>
                <w:color w:val="FF0000"/>
                <w:sz w:val="21"/>
                <w:szCs w:val="21"/>
              </w:rPr>
              <w:t xml:space="preserve"> </w:t>
            </w:r>
            <w:r w:rsidR="00B76EDF" w:rsidRPr="007E439F">
              <w:rPr>
                <w:sz w:val="21"/>
                <w:szCs w:val="21"/>
              </w:rPr>
              <w:t xml:space="preserve">An exception may be the surgical extraction of third molars, especially in situations where there is pericoronitis.  The clinician is encouraged to use their clinical judgement to evaluate the patient’s health and the extent of the procedure relative to antibiotic use in such situations.  </w:t>
            </w:r>
          </w:p>
          <w:p w14:paraId="584BAF81" w14:textId="26A9B191" w:rsidR="00B76EDF" w:rsidRPr="007E439F" w:rsidRDefault="00B76EDF">
            <w:pPr>
              <w:rPr>
                <w:sz w:val="21"/>
                <w:szCs w:val="21"/>
              </w:rPr>
            </w:pPr>
            <w:r w:rsidRPr="007E439F">
              <w:rPr>
                <w:sz w:val="21"/>
                <w:szCs w:val="21"/>
              </w:rPr>
              <w:t xml:space="preserve">The prophylactic effect of antibiotics occurs within the </w:t>
            </w:r>
            <w:r w:rsidRPr="00746F9A">
              <w:rPr>
                <w:b/>
                <w:sz w:val="21"/>
                <w:szCs w:val="21"/>
              </w:rPr>
              <w:t>first one or two doses</w:t>
            </w:r>
            <w:r w:rsidRPr="007E439F">
              <w:rPr>
                <w:sz w:val="21"/>
                <w:szCs w:val="21"/>
              </w:rPr>
              <w:t xml:space="preserve"> and antibiotic use </w:t>
            </w:r>
            <w:r w:rsidRPr="0015557E">
              <w:rPr>
                <w:b/>
                <w:sz w:val="21"/>
                <w:szCs w:val="21"/>
              </w:rPr>
              <w:t>may be of</w:t>
            </w:r>
            <w:r w:rsidRPr="007E439F">
              <w:rPr>
                <w:sz w:val="21"/>
                <w:szCs w:val="21"/>
              </w:rPr>
              <w:t xml:space="preserve"> </w:t>
            </w:r>
            <w:r w:rsidRPr="007E439F">
              <w:rPr>
                <w:b/>
                <w:sz w:val="21"/>
                <w:szCs w:val="21"/>
              </w:rPr>
              <w:t>detriment if continued for the next 3-7 days</w:t>
            </w:r>
            <w:r w:rsidRPr="007E439F">
              <w:rPr>
                <w:sz w:val="21"/>
                <w:szCs w:val="21"/>
              </w:rPr>
              <w:t xml:space="preserve">, especially if there are no signs of infection at the surgical site.  Best practices and responsible antibiotic stewardship suggests antibiotics should be reserved to manage an infection </w:t>
            </w:r>
            <w:r w:rsidR="0071690B">
              <w:rPr>
                <w:sz w:val="21"/>
                <w:szCs w:val="21"/>
              </w:rPr>
              <w:t>if it occurs</w:t>
            </w:r>
            <w:r w:rsidRPr="007E439F">
              <w:rPr>
                <w:sz w:val="21"/>
                <w:szCs w:val="21"/>
              </w:rPr>
              <w:t>, rather than used in hopes of preventing the infrequent infections that may be associated with such procedures in health</w:t>
            </w:r>
            <w:r w:rsidR="0071690B">
              <w:rPr>
                <w:sz w:val="21"/>
                <w:szCs w:val="21"/>
              </w:rPr>
              <w:t>y</w:t>
            </w:r>
            <w:r w:rsidRPr="007E439F">
              <w:rPr>
                <w:sz w:val="21"/>
                <w:szCs w:val="21"/>
              </w:rPr>
              <w:t xml:space="preserve"> immunocompetent patients.</w:t>
            </w:r>
          </w:p>
        </w:tc>
      </w:tr>
      <w:tr w:rsidR="00B76EDF" w14:paraId="131312D5" w14:textId="77777777" w:rsidTr="00F83857">
        <w:tc>
          <w:tcPr>
            <w:tcW w:w="9558" w:type="dxa"/>
            <w:shd w:val="clear" w:color="auto" w:fill="00B0F0"/>
          </w:tcPr>
          <w:p w14:paraId="01BEE2E5" w14:textId="06B06748" w:rsidR="00B76EDF" w:rsidRPr="00571F61" w:rsidRDefault="000943F7" w:rsidP="006A5AEF">
            <w:pPr>
              <w:rPr>
                <w:b/>
                <w:color w:val="FFFFFF" w:themeColor="background1"/>
                <w:sz w:val="24"/>
                <w:szCs w:val="24"/>
              </w:rPr>
            </w:pPr>
            <w:r>
              <w:rPr>
                <w:b/>
                <w:color w:val="FFFFFF" w:themeColor="background1"/>
                <w:sz w:val="24"/>
                <w:szCs w:val="24"/>
              </w:rPr>
              <w:t xml:space="preserve">#2) </w:t>
            </w:r>
            <w:r w:rsidR="00D8361E">
              <w:rPr>
                <w:b/>
                <w:color w:val="FFFFFF" w:themeColor="background1"/>
                <w:sz w:val="24"/>
                <w:szCs w:val="24"/>
              </w:rPr>
              <w:t>P</w:t>
            </w:r>
            <w:r w:rsidR="00B76EDF" w:rsidRPr="00571F61">
              <w:rPr>
                <w:b/>
                <w:color w:val="FFFFFF" w:themeColor="background1"/>
                <w:sz w:val="24"/>
                <w:szCs w:val="24"/>
              </w:rPr>
              <w:t xml:space="preserve">rophylaxis </w:t>
            </w:r>
            <w:r w:rsidR="006A5AEF">
              <w:rPr>
                <w:b/>
                <w:color w:val="FFFFFF" w:themeColor="background1"/>
                <w:sz w:val="24"/>
                <w:szCs w:val="24"/>
              </w:rPr>
              <w:t xml:space="preserve">to prevent </w:t>
            </w:r>
            <w:r w:rsidR="00B76EDF" w:rsidRPr="00571F61">
              <w:rPr>
                <w:b/>
                <w:color w:val="FFFFFF" w:themeColor="background1"/>
                <w:sz w:val="24"/>
                <w:szCs w:val="24"/>
              </w:rPr>
              <w:t>infectious endocarditis:</w:t>
            </w:r>
            <w:r w:rsidR="00883C82">
              <w:rPr>
                <w:color w:val="FFFFFF" w:themeColor="background1"/>
                <w:sz w:val="24"/>
                <w:szCs w:val="24"/>
                <w:vertAlign w:val="superscript"/>
              </w:rPr>
              <w:t>5,12-14</w:t>
            </w:r>
          </w:p>
        </w:tc>
      </w:tr>
      <w:tr w:rsidR="00B76EDF" w14:paraId="169B9C6B" w14:textId="77777777" w:rsidTr="00F83857">
        <w:tc>
          <w:tcPr>
            <w:tcW w:w="9558" w:type="dxa"/>
            <w:shd w:val="clear" w:color="auto" w:fill="BFBFBF" w:themeFill="background1" w:themeFillShade="BF"/>
          </w:tcPr>
          <w:p w14:paraId="5DC62C3A" w14:textId="77777777" w:rsidR="00B76EDF" w:rsidRDefault="00B76EDF" w:rsidP="00241DC7">
            <w:pPr>
              <w:rPr>
                <w:b/>
              </w:rPr>
            </w:pPr>
            <w:r>
              <w:rPr>
                <w:b/>
              </w:rPr>
              <w:t>Background</w:t>
            </w:r>
          </w:p>
        </w:tc>
      </w:tr>
      <w:tr w:rsidR="00B76EDF" w14:paraId="3E533570" w14:textId="77777777" w:rsidTr="00F83857">
        <w:tc>
          <w:tcPr>
            <w:tcW w:w="9558" w:type="dxa"/>
          </w:tcPr>
          <w:p w14:paraId="6ACC6533" w14:textId="482FF20B" w:rsidR="00B76EDF" w:rsidRPr="00F83857" w:rsidRDefault="00B76EDF" w:rsidP="00746F9A">
            <w:pPr>
              <w:rPr>
                <w:sz w:val="21"/>
                <w:szCs w:val="21"/>
              </w:rPr>
            </w:pPr>
            <w:r w:rsidRPr="007E439F">
              <w:rPr>
                <w:sz w:val="21"/>
                <w:szCs w:val="21"/>
              </w:rPr>
              <w:t xml:space="preserve">Infectious endocarditis (IE) is more likely to result from exposure to bacteremia associated with daily activities (i.e. chewing, brushing teeth) than from a dental procedure.  Antibiotic prophylaxis (AP) may </w:t>
            </w:r>
            <w:r w:rsidR="00EB4498" w:rsidRPr="007E439F">
              <w:rPr>
                <w:sz w:val="21"/>
                <w:szCs w:val="21"/>
              </w:rPr>
              <w:t xml:space="preserve">be </w:t>
            </w:r>
            <w:r w:rsidRPr="007E439F">
              <w:rPr>
                <w:sz w:val="21"/>
                <w:szCs w:val="21"/>
              </w:rPr>
              <w:t>prevent</w:t>
            </w:r>
            <w:r w:rsidR="00EB4498" w:rsidRPr="007E439F">
              <w:rPr>
                <w:sz w:val="21"/>
                <w:szCs w:val="21"/>
              </w:rPr>
              <w:t>ed</w:t>
            </w:r>
            <w:r w:rsidRPr="007E439F">
              <w:rPr>
                <w:sz w:val="21"/>
                <w:szCs w:val="21"/>
              </w:rPr>
              <w:t xml:space="preserve"> </w:t>
            </w:r>
            <w:r w:rsidR="00EB4498" w:rsidRPr="007E439F">
              <w:rPr>
                <w:sz w:val="21"/>
                <w:szCs w:val="21"/>
              </w:rPr>
              <w:t xml:space="preserve">in </w:t>
            </w:r>
            <w:r w:rsidRPr="007E439F">
              <w:rPr>
                <w:sz w:val="21"/>
                <w:szCs w:val="21"/>
              </w:rPr>
              <w:t xml:space="preserve">a small number of IE </w:t>
            </w:r>
            <w:proofErr w:type="gramStart"/>
            <w:r w:rsidRPr="007E439F">
              <w:rPr>
                <w:sz w:val="21"/>
                <w:szCs w:val="21"/>
              </w:rPr>
              <w:t>cases,</w:t>
            </w:r>
            <w:proofErr w:type="gramEnd"/>
            <w:r w:rsidRPr="007E439F">
              <w:rPr>
                <w:sz w:val="21"/>
                <w:szCs w:val="21"/>
              </w:rPr>
              <w:t xml:space="preserve"> however the risk of antibiotic associate</w:t>
            </w:r>
            <w:r w:rsidR="008F775D">
              <w:rPr>
                <w:sz w:val="21"/>
                <w:szCs w:val="21"/>
              </w:rPr>
              <w:t xml:space="preserve">d adverse drug reactions </w:t>
            </w:r>
            <w:r w:rsidRPr="007E439F">
              <w:rPr>
                <w:sz w:val="21"/>
                <w:szCs w:val="21"/>
              </w:rPr>
              <w:t xml:space="preserve">exceeds any expected benefit.  </w:t>
            </w:r>
          </w:p>
        </w:tc>
      </w:tr>
      <w:tr w:rsidR="00B76EDF" w14:paraId="4086A4D3" w14:textId="77777777" w:rsidTr="00F83857">
        <w:tc>
          <w:tcPr>
            <w:tcW w:w="9558" w:type="dxa"/>
            <w:shd w:val="clear" w:color="auto" w:fill="BFBFBF" w:themeFill="background1" w:themeFillShade="BF"/>
          </w:tcPr>
          <w:p w14:paraId="1935D059" w14:textId="77777777" w:rsidR="00B76EDF" w:rsidRDefault="00B76EDF" w:rsidP="00241DC7">
            <w:pPr>
              <w:rPr>
                <w:b/>
              </w:rPr>
            </w:pPr>
            <w:r>
              <w:rPr>
                <w:b/>
              </w:rPr>
              <w:t>Management</w:t>
            </w:r>
          </w:p>
        </w:tc>
      </w:tr>
      <w:tr w:rsidR="00012BD9" w14:paraId="12BC594F" w14:textId="77777777" w:rsidTr="00012BD9">
        <w:tc>
          <w:tcPr>
            <w:tcW w:w="9558" w:type="dxa"/>
            <w:shd w:val="clear" w:color="auto" w:fill="auto"/>
          </w:tcPr>
          <w:p w14:paraId="733220FC" w14:textId="77777777" w:rsidR="00012BD9" w:rsidRDefault="00012BD9" w:rsidP="00012BD9">
            <w:pPr>
              <w:rPr>
                <w:sz w:val="21"/>
                <w:szCs w:val="21"/>
              </w:rPr>
            </w:pPr>
            <w:r>
              <w:rPr>
                <w:sz w:val="21"/>
                <w:szCs w:val="21"/>
              </w:rPr>
              <w:t>S</w:t>
            </w:r>
            <w:r w:rsidRPr="007E439F">
              <w:rPr>
                <w:sz w:val="21"/>
                <w:szCs w:val="21"/>
              </w:rPr>
              <w:t>election of appropriate patient need, antibiotic type and dosage is critical. The American Heart Association (AHA) 2007 guidelines recommend AP when dental treatment involves manipulation of gingival tissue, manipulation of the periapical region of teeth, or perforation of th</w:t>
            </w:r>
            <w:r>
              <w:rPr>
                <w:sz w:val="21"/>
                <w:szCs w:val="21"/>
              </w:rPr>
              <w:t xml:space="preserve">e oral mucosa, and only for </w:t>
            </w:r>
            <w:r w:rsidRPr="007E439F">
              <w:rPr>
                <w:sz w:val="21"/>
                <w:szCs w:val="21"/>
              </w:rPr>
              <w:t>highest risk p</w:t>
            </w:r>
            <w:r>
              <w:rPr>
                <w:sz w:val="21"/>
                <w:szCs w:val="21"/>
              </w:rPr>
              <w:t>atients. Indications for AP to prevent IE prior to dental procedures include the following patients with highest cardiac risk factors for IE:</w:t>
            </w:r>
          </w:p>
          <w:p w14:paraId="6528598F" w14:textId="77777777" w:rsidR="00012BD9" w:rsidRPr="002569AD" w:rsidRDefault="00012BD9" w:rsidP="00012BD9">
            <w:pPr>
              <w:pStyle w:val="ListParagraph"/>
              <w:numPr>
                <w:ilvl w:val="0"/>
                <w:numId w:val="2"/>
              </w:numPr>
              <w:rPr>
                <w:b/>
                <w:sz w:val="21"/>
                <w:szCs w:val="21"/>
              </w:rPr>
            </w:pPr>
            <w:r>
              <w:rPr>
                <w:sz w:val="21"/>
                <w:szCs w:val="21"/>
              </w:rPr>
              <w:t>P</w:t>
            </w:r>
            <w:r w:rsidRPr="00A54C15">
              <w:rPr>
                <w:sz w:val="21"/>
                <w:szCs w:val="21"/>
              </w:rPr>
              <w:t xml:space="preserve">rosthetic cardiac valves </w:t>
            </w:r>
            <w:r>
              <w:rPr>
                <w:sz w:val="21"/>
                <w:szCs w:val="21"/>
              </w:rPr>
              <w:t>or materials for valve repair</w:t>
            </w:r>
          </w:p>
          <w:p w14:paraId="5800A015" w14:textId="77777777" w:rsidR="00012BD9" w:rsidRPr="002569AD" w:rsidRDefault="00012BD9" w:rsidP="00012BD9">
            <w:pPr>
              <w:pStyle w:val="ListParagraph"/>
              <w:numPr>
                <w:ilvl w:val="0"/>
                <w:numId w:val="2"/>
              </w:numPr>
              <w:rPr>
                <w:b/>
                <w:sz w:val="21"/>
                <w:szCs w:val="21"/>
              </w:rPr>
            </w:pPr>
            <w:r>
              <w:rPr>
                <w:sz w:val="21"/>
                <w:szCs w:val="21"/>
              </w:rPr>
              <w:t>Prior infective endocarditis</w:t>
            </w:r>
          </w:p>
          <w:p w14:paraId="2B0A3D5E" w14:textId="77777777" w:rsidR="00012BD9" w:rsidRPr="002569AD" w:rsidRDefault="00012BD9" w:rsidP="00012BD9">
            <w:pPr>
              <w:pStyle w:val="ListParagraph"/>
              <w:numPr>
                <w:ilvl w:val="0"/>
                <w:numId w:val="2"/>
              </w:numPr>
              <w:rPr>
                <w:b/>
                <w:sz w:val="21"/>
                <w:szCs w:val="21"/>
              </w:rPr>
            </w:pPr>
            <w:r>
              <w:rPr>
                <w:sz w:val="21"/>
                <w:szCs w:val="21"/>
              </w:rPr>
              <w:t>C</w:t>
            </w:r>
            <w:r w:rsidRPr="00A54C15">
              <w:rPr>
                <w:sz w:val="21"/>
                <w:szCs w:val="21"/>
              </w:rPr>
              <w:t>ongenital heart disease (CDH</w:t>
            </w:r>
            <w:r>
              <w:rPr>
                <w:sz w:val="21"/>
                <w:szCs w:val="21"/>
              </w:rPr>
              <w:t>) such as unrepaired cyanotic CHD (including palliative shunts and conduits); c</w:t>
            </w:r>
            <w:r w:rsidRPr="002569AD">
              <w:rPr>
                <w:sz w:val="21"/>
                <w:szCs w:val="21"/>
              </w:rPr>
              <w:t>ompletely repaired defects with prosthetics during the first 6 months</w:t>
            </w:r>
            <w:r>
              <w:rPr>
                <w:sz w:val="21"/>
                <w:szCs w:val="21"/>
              </w:rPr>
              <w:t xml:space="preserve"> after the procedure; </w:t>
            </w:r>
            <w:r w:rsidRPr="002569AD">
              <w:rPr>
                <w:sz w:val="21"/>
                <w:szCs w:val="21"/>
              </w:rPr>
              <w:t>repaired CHD with residual defects at or n</w:t>
            </w:r>
            <w:r>
              <w:rPr>
                <w:sz w:val="21"/>
                <w:szCs w:val="21"/>
              </w:rPr>
              <w:t>ear the site of a prosthetic</w:t>
            </w:r>
            <w:r w:rsidRPr="002569AD">
              <w:rPr>
                <w:sz w:val="21"/>
                <w:szCs w:val="21"/>
              </w:rPr>
              <w:t xml:space="preserve"> patch</w:t>
            </w:r>
            <w:r>
              <w:rPr>
                <w:sz w:val="21"/>
                <w:szCs w:val="21"/>
              </w:rPr>
              <w:t xml:space="preserve"> or device </w:t>
            </w:r>
          </w:p>
          <w:p w14:paraId="42E0FCAA" w14:textId="77777777" w:rsidR="00012BD9" w:rsidRPr="002569AD" w:rsidRDefault="00012BD9" w:rsidP="00012BD9">
            <w:pPr>
              <w:pStyle w:val="ListParagraph"/>
              <w:numPr>
                <w:ilvl w:val="0"/>
                <w:numId w:val="2"/>
              </w:numPr>
              <w:rPr>
                <w:b/>
                <w:sz w:val="21"/>
                <w:szCs w:val="21"/>
              </w:rPr>
            </w:pPr>
            <w:r>
              <w:rPr>
                <w:sz w:val="21"/>
                <w:szCs w:val="21"/>
              </w:rPr>
              <w:lastRenderedPageBreak/>
              <w:t>C</w:t>
            </w:r>
            <w:r w:rsidRPr="002569AD">
              <w:rPr>
                <w:sz w:val="21"/>
                <w:szCs w:val="21"/>
              </w:rPr>
              <w:t>ardiac transplant recipi</w:t>
            </w:r>
            <w:r>
              <w:rPr>
                <w:sz w:val="21"/>
                <w:szCs w:val="21"/>
              </w:rPr>
              <w:t>ents with cardiac valvulopathy</w:t>
            </w:r>
          </w:p>
          <w:p w14:paraId="286701CA" w14:textId="4C49E477" w:rsidR="00012BD9" w:rsidRDefault="00012BD9" w:rsidP="00012BD9">
            <w:pPr>
              <w:rPr>
                <w:b/>
              </w:rPr>
            </w:pPr>
            <w:r w:rsidRPr="002569AD">
              <w:rPr>
                <w:sz w:val="21"/>
                <w:szCs w:val="21"/>
              </w:rPr>
              <w:t>In 2017 the AHA/American College of Cardiology expanded this AP recommendation to include:  patients with transcatheter prosthetic valves and patients with prosthetic material used for valve repair such as annuloplasty ri</w:t>
            </w:r>
            <w:r>
              <w:rPr>
                <w:sz w:val="21"/>
                <w:szCs w:val="21"/>
              </w:rPr>
              <w:t>ngs and chords.  The addition was</w:t>
            </w:r>
            <w:r w:rsidRPr="002569AD">
              <w:rPr>
                <w:sz w:val="21"/>
                <w:szCs w:val="21"/>
              </w:rPr>
              <w:t xml:space="preserve"> based on observational studies for increased risk of IE.</w:t>
            </w:r>
            <w:r w:rsidRPr="002569AD">
              <w:rPr>
                <w:sz w:val="21"/>
                <w:szCs w:val="21"/>
                <w:vertAlign w:val="superscript"/>
              </w:rPr>
              <w:t xml:space="preserve">15  </w:t>
            </w:r>
          </w:p>
        </w:tc>
      </w:tr>
      <w:tr w:rsidR="00B76EDF" w14:paraId="4DD5D503" w14:textId="77777777" w:rsidTr="00F83857">
        <w:tc>
          <w:tcPr>
            <w:tcW w:w="9558" w:type="dxa"/>
            <w:shd w:val="clear" w:color="auto" w:fill="BFBFBF" w:themeFill="background1" w:themeFillShade="BF"/>
          </w:tcPr>
          <w:p w14:paraId="1F670274" w14:textId="77777777" w:rsidR="00B76EDF" w:rsidRDefault="00B76EDF" w:rsidP="00241DC7">
            <w:pPr>
              <w:rPr>
                <w:b/>
              </w:rPr>
            </w:pPr>
            <w:r>
              <w:rPr>
                <w:b/>
              </w:rPr>
              <w:lastRenderedPageBreak/>
              <w:t>Treatment</w:t>
            </w:r>
          </w:p>
        </w:tc>
      </w:tr>
      <w:tr w:rsidR="00B76EDF" w14:paraId="4DABFE0E" w14:textId="77777777" w:rsidTr="00F83857">
        <w:tc>
          <w:tcPr>
            <w:tcW w:w="9558" w:type="dxa"/>
          </w:tcPr>
          <w:p w14:paraId="2F8BEB92" w14:textId="1DB1790F" w:rsidR="004A666E" w:rsidRDefault="00B76EDF" w:rsidP="004A666E">
            <w:pPr>
              <w:rPr>
                <w:sz w:val="21"/>
                <w:szCs w:val="21"/>
              </w:rPr>
            </w:pPr>
            <w:r w:rsidRPr="007E439F">
              <w:rPr>
                <w:sz w:val="21"/>
                <w:szCs w:val="21"/>
              </w:rPr>
              <w:t xml:space="preserve">Regimens </w:t>
            </w:r>
            <w:r w:rsidR="005E2C95">
              <w:rPr>
                <w:sz w:val="21"/>
                <w:szCs w:val="21"/>
              </w:rPr>
              <w:t xml:space="preserve">for </w:t>
            </w:r>
            <w:r w:rsidR="004A666E">
              <w:rPr>
                <w:sz w:val="21"/>
                <w:szCs w:val="21"/>
              </w:rPr>
              <w:t>IE prophylaxis include:</w:t>
            </w:r>
          </w:p>
          <w:p w14:paraId="16E0276C" w14:textId="77777777" w:rsidR="004A666E" w:rsidRDefault="004A666E" w:rsidP="004A666E">
            <w:pPr>
              <w:pStyle w:val="ListParagraph"/>
              <w:numPr>
                <w:ilvl w:val="0"/>
                <w:numId w:val="1"/>
              </w:numPr>
              <w:rPr>
                <w:sz w:val="21"/>
                <w:szCs w:val="21"/>
              </w:rPr>
            </w:pPr>
            <w:r>
              <w:rPr>
                <w:sz w:val="21"/>
                <w:szCs w:val="21"/>
              </w:rPr>
              <w:t>A</w:t>
            </w:r>
            <w:r w:rsidR="00B76EDF" w:rsidRPr="004A666E">
              <w:rPr>
                <w:sz w:val="21"/>
                <w:szCs w:val="21"/>
              </w:rPr>
              <w:t xml:space="preserve">moxicillin 2Gm PO x1 30-60 minutes prior to the procedure, and ampicillin 2Gm IM or IV x1 30-60 minutes preop if unable to take oral medications.  </w:t>
            </w:r>
          </w:p>
          <w:p w14:paraId="4E5CDE5A" w14:textId="15619D93" w:rsidR="004A666E" w:rsidRDefault="00B76EDF" w:rsidP="004A666E">
            <w:pPr>
              <w:pStyle w:val="ListParagraph"/>
              <w:numPr>
                <w:ilvl w:val="0"/>
                <w:numId w:val="1"/>
              </w:numPr>
              <w:rPr>
                <w:sz w:val="21"/>
                <w:szCs w:val="21"/>
              </w:rPr>
            </w:pPr>
            <w:r w:rsidRPr="004A666E">
              <w:rPr>
                <w:sz w:val="21"/>
                <w:szCs w:val="21"/>
              </w:rPr>
              <w:t>Patients with a penicillin allergy (non-severe reactions including rash) due to side-chain dissimilarity can safely be prescribed cephalexin 2Gm PO x1 30-60 minutes preop, and this is preferred over the alternative classes of antibiotics (macrolides and clindamycin) to optimize antibiotic coverage (</w:t>
            </w:r>
            <w:r w:rsidR="009D243E">
              <w:rPr>
                <w:sz w:val="21"/>
                <w:szCs w:val="21"/>
              </w:rPr>
              <w:t xml:space="preserve">and </w:t>
            </w:r>
            <w:r w:rsidRPr="004A666E">
              <w:rPr>
                <w:sz w:val="21"/>
                <w:szCs w:val="21"/>
              </w:rPr>
              <w:t xml:space="preserve">less risk of antibiotic resistance) in balance with a safer antibiotic side effect profile.  </w:t>
            </w:r>
          </w:p>
          <w:p w14:paraId="15D0DF3D" w14:textId="77777777" w:rsidR="004A666E" w:rsidRDefault="00B76EDF" w:rsidP="004A666E">
            <w:pPr>
              <w:pStyle w:val="ListParagraph"/>
              <w:numPr>
                <w:ilvl w:val="0"/>
                <w:numId w:val="1"/>
              </w:numPr>
              <w:rPr>
                <w:sz w:val="21"/>
                <w:szCs w:val="21"/>
              </w:rPr>
            </w:pPr>
            <w:r w:rsidRPr="004A666E">
              <w:rPr>
                <w:sz w:val="21"/>
                <w:szCs w:val="21"/>
              </w:rPr>
              <w:t xml:space="preserve">Cefazolin has a unique R-1 side chain and is also associated with low to no risk of cross-reactivity with penicillins in patients unable to take oral medication (cefazolin 1Gm IM or IV 30-60 minute preop).  </w:t>
            </w:r>
          </w:p>
          <w:p w14:paraId="65A93C02" w14:textId="2C53A02B" w:rsidR="004A666E" w:rsidRDefault="00B76EDF" w:rsidP="004A666E">
            <w:pPr>
              <w:pStyle w:val="ListParagraph"/>
              <w:numPr>
                <w:ilvl w:val="0"/>
                <w:numId w:val="1"/>
              </w:numPr>
              <w:rPr>
                <w:sz w:val="21"/>
                <w:szCs w:val="21"/>
              </w:rPr>
            </w:pPr>
            <w:r w:rsidRPr="004A666E">
              <w:rPr>
                <w:sz w:val="21"/>
                <w:szCs w:val="21"/>
              </w:rPr>
              <w:t xml:space="preserve">In the case of a severe (history of anaphylaxis, angioedema, or hives) penicillin allergy, </w:t>
            </w:r>
            <w:r w:rsidR="00F7582B">
              <w:rPr>
                <w:sz w:val="21"/>
                <w:szCs w:val="21"/>
              </w:rPr>
              <w:t xml:space="preserve">administer </w:t>
            </w:r>
            <w:r w:rsidRPr="004A666E">
              <w:rPr>
                <w:sz w:val="21"/>
                <w:szCs w:val="21"/>
              </w:rPr>
              <w:t xml:space="preserve">azithromycin 500mg PO x1 30-60 minutes preop.  </w:t>
            </w:r>
          </w:p>
          <w:p w14:paraId="1F59A8C3" w14:textId="42A13219" w:rsidR="00B76EDF" w:rsidRPr="004A666E" w:rsidRDefault="00B76EDF" w:rsidP="00ED385B">
            <w:pPr>
              <w:pStyle w:val="ListParagraph"/>
              <w:numPr>
                <w:ilvl w:val="0"/>
                <w:numId w:val="1"/>
              </w:numPr>
              <w:rPr>
                <w:sz w:val="21"/>
                <w:szCs w:val="21"/>
              </w:rPr>
            </w:pPr>
            <w:r w:rsidRPr="004A666E">
              <w:rPr>
                <w:sz w:val="21"/>
                <w:szCs w:val="21"/>
              </w:rPr>
              <w:t xml:space="preserve">Alternatively, </w:t>
            </w:r>
            <w:r w:rsidR="00F7582B">
              <w:rPr>
                <w:sz w:val="21"/>
                <w:szCs w:val="21"/>
              </w:rPr>
              <w:t xml:space="preserve">consider </w:t>
            </w:r>
            <w:r w:rsidRPr="004A666E">
              <w:rPr>
                <w:sz w:val="21"/>
                <w:szCs w:val="21"/>
              </w:rPr>
              <w:t>clindamycin 60</w:t>
            </w:r>
            <w:r w:rsidR="00F7582B">
              <w:rPr>
                <w:sz w:val="21"/>
                <w:szCs w:val="21"/>
              </w:rPr>
              <w:t>0mg (PO, IM or IV) 30-60 min</w:t>
            </w:r>
            <w:r w:rsidRPr="004A666E">
              <w:rPr>
                <w:sz w:val="21"/>
                <w:szCs w:val="21"/>
              </w:rPr>
              <w:t xml:space="preserve"> preop.  </w:t>
            </w:r>
            <w:r w:rsidR="00ED385B">
              <w:rPr>
                <w:sz w:val="21"/>
                <w:szCs w:val="21"/>
              </w:rPr>
              <w:t>(</w:t>
            </w:r>
            <w:proofErr w:type="gramStart"/>
            <w:r w:rsidR="00ED385B">
              <w:rPr>
                <w:sz w:val="21"/>
                <w:szCs w:val="21"/>
              </w:rPr>
              <w:t>or</w:t>
            </w:r>
            <w:proofErr w:type="gramEnd"/>
            <w:r w:rsidR="00ED385B">
              <w:rPr>
                <w:sz w:val="21"/>
                <w:szCs w:val="21"/>
              </w:rPr>
              <w:t xml:space="preserve"> </w:t>
            </w:r>
            <w:r w:rsidRPr="004A666E">
              <w:rPr>
                <w:sz w:val="21"/>
                <w:szCs w:val="21"/>
              </w:rPr>
              <w:t xml:space="preserve">clarithromycin 500mg PO x1 30-60 </w:t>
            </w:r>
            <w:r w:rsidR="00F7582B">
              <w:rPr>
                <w:sz w:val="21"/>
                <w:szCs w:val="21"/>
              </w:rPr>
              <w:t xml:space="preserve">min </w:t>
            </w:r>
            <w:r w:rsidRPr="004A666E">
              <w:rPr>
                <w:sz w:val="21"/>
                <w:szCs w:val="21"/>
              </w:rPr>
              <w:t>preop</w:t>
            </w:r>
            <w:r w:rsidR="00ED385B">
              <w:rPr>
                <w:sz w:val="21"/>
                <w:szCs w:val="21"/>
              </w:rPr>
              <w:t>)</w:t>
            </w:r>
            <w:r w:rsidRPr="004A666E">
              <w:rPr>
                <w:sz w:val="21"/>
                <w:szCs w:val="21"/>
              </w:rPr>
              <w:t>.</w:t>
            </w:r>
          </w:p>
        </w:tc>
      </w:tr>
      <w:tr w:rsidR="00B76EDF" w14:paraId="2267F343" w14:textId="77777777" w:rsidTr="00F83857">
        <w:tc>
          <w:tcPr>
            <w:tcW w:w="9558" w:type="dxa"/>
            <w:shd w:val="clear" w:color="auto" w:fill="00B0F0"/>
          </w:tcPr>
          <w:p w14:paraId="5A3E4849" w14:textId="307E71CE" w:rsidR="00B76EDF" w:rsidRPr="003372F6" w:rsidRDefault="00D8361E" w:rsidP="003372F6">
            <w:pPr>
              <w:rPr>
                <w:b/>
                <w:color w:val="FFFFFF" w:themeColor="background1"/>
                <w:sz w:val="24"/>
                <w:szCs w:val="24"/>
              </w:rPr>
            </w:pPr>
            <w:r>
              <w:rPr>
                <w:b/>
                <w:color w:val="FFFFFF" w:themeColor="background1"/>
                <w:sz w:val="24"/>
                <w:szCs w:val="24"/>
              </w:rPr>
              <w:t xml:space="preserve"> </w:t>
            </w:r>
            <w:r w:rsidR="000943F7">
              <w:rPr>
                <w:b/>
                <w:color w:val="FFFFFF" w:themeColor="background1"/>
                <w:sz w:val="24"/>
                <w:szCs w:val="24"/>
              </w:rPr>
              <w:t xml:space="preserve">#3) </w:t>
            </w:r>
            <w:r>
              <w:rPr>
                <w:b/>
                <w:color w:val="FFFFFF" w:themeColor="background1"/>
                <w:sz w:val="24"/>
                <w:szCs w:val="24"/>
              </w:rPr>
              <w:t>P</w:t>
            </w:r>
            <w:r w:rsidR="00B76EDF" w:rsidRPr="004A7145">
              <w:rPr>
                <w:b/>
                <w:color w:val="FFFFFF" w:themeColor="background1"/>
                <w:sz w:val="24"/>
                <w:szCs w:val="24"/>
              </w:rPr>
              <w:t>rophy</w:t>
            </w:r>
            <w:r w:rsidR="003372F6">
              <w:rPr>
                <w:b/>
                <w:color w:val="FFFFFF" w:themeColor="background1"/>
                <w:sz w:val="24"/>
                <w:szCs w:val="24"/>
              </w:rPr>
              <w:t>laxis to prevent prosthetic joint infections</w:t>
            </w:r>
            <w:r w:rsidR="00B76EDF" w:rsidRPr="004A7145">
              <w:rPr>
                <w:b/>
                <w:color w:val="FFFFFF" w:themeColor="background1"/>
                <w:sz w:val="24"/>
                <w:szCs w:val="24"/>
              </w:rPr>
              <w:t>:</w:t>
            </w:r>
            <w:r w:rsidR="003372F6">
              <w:rPr>
                <w:b/>
                <w:color w:val="FFFFFF" w:themeColor="background1"/>
                <w:sz w:val="24"/>
                <w:szCs w:val="24"/>
                <w:vertAlign w:val="superscript"/>
              </w:rPr>
              <w:t>5</w:t>
            </w:r>
            <w:r w:rsidR="00E70FBF">
              <w:rPr>
                <w:b/>
                <w:color w:val="FFFFFF" w:themeColor="background1"/>
                <w:sz w:val="24"/>
                <w:szCs w:val="24"/>
                <w:vertAlign w:val="superscript"/>
              </w:rPr>
              <w:t>, 13</w:t>
            </w:r>
          </w:p>
        </w:tc>
      </w:tr>
      <w:tr w:rsidR="00B76EDF" w14:paraId="6150B9CB" w14:textId="77777777" w:rsidTr="00F83857">
        <w:tc>
          <w:tcPr>
            <w:tcW w:w="9558" w:type="dxa"/>
            <w:shd w:val="clear" w:color="auto" w:fill="BFBFBF" w:themeFill="background1" w:themeFillShade="BF"/>
          </w:tcPr>
          <w:p w14:paraId="08EC038C" w14:textId="77777777" w:rsidR="00B76EDF" w:rsidRDefault="00B76EDF" w:rsidP="00241DC7">
            <w:pPr>
              <w:rPr>
                <w:b/>
              </w:rPr>
            </w:pPr>
            <w:r>
              <w:rPr>
                <w:b/>
              </w:rPr>
              <w:t xml:space="preserve">Management </w:t>
            </w:r>
          </w:p>
        </w:tc>
      </w:tr>
      <w:tr w:rsidR="00B76EDF" w14:paraId="72BE483B" w14:textId="77777777" w:rsidTr="00F83857">
        <w:tc>
          <w:tcPr>
            <w:tcW w:w="9558" w:type="dxa"/>
            <w:shd w:val="clear" w:color="auto" w:fill="FFFFFF" w:themeFill="background1"/>
          </w:tcPr>
          <w:p w14:paraId="70F499D4" w14:textId="3136D0E7" w:rsidR="00B76EDF" w:rsidRPr="00965C03" w:rsidRDefault="00B76EDF">
            <w:pPr>
              <w:rPr>
                <w:b/>
                <w:sz w:val="21"/>
                <w:szCs w:val="21"/>
                <w:vertAlign w:val="superscript"/>
              </w:rPr>
            </w:pPr>
            <w:r w:rsidRPr="007E439F">
              <w:rPr>
                <w:sz w:val="21"/>
                <w:szCs w:val="21"/>
              </w:rPr>
              <w:t>The best available evidence to date shows that dental procedures are not associated with a prosthetic joint infection (PJI)</w:t>
            </w:r>
            <w:r w:rsidR="00EB4498" w:rsidRPr="007E439F">
              <w:rPr>
                <w:sz w:val="21"/>
                <w:szCs w:val="21"/>
              </w:rPr>
              <w:t xml:space="preserve"> in the immunocompetent patient</w:t>
            </w:r>
            <w:r w:rsidRPr="007E439F">
              <w:rPr>
                <w:sz w:val="21"/>
                <w:szCs w:val="21"/>
              </w:rPr>
              <w:t>.</w:t>
            </w:r>
            <w:r w:rsidR="00922D55" w:rsidRPr="00922D55">
              <w:rPr>
                <w:sz w:val="21"/>
                <w:szCs w:val="21"/>
                <w:vertAlign w:val="superscript"/>
              </w:rPr>
              <w:t>16-</w:t>
            </w:r>
            <w:r w:rsidR="00883C82" w:rsidRPr="007E439F">
              <w:rPr>
                <w:sz w:val="21"/>
                <w:szCs w:val="21"/>
                <w:vertAlign w:val="superscript"/>
              </w:rPr>
              <w:t>18</w:t>
            </w:r>
            <w:r w:rsidRPr="007E439F">
              <w:rPr>
                <w:sz w:val="21"/>
                <w:szCs w:val="21"/>
                <w:vertAlign w:val="superscript"/>
              </w:rPr>
              <w:t xml:space="preserve"> </w:t>
            </w:r>
            <w:r w:rsidRPr="007E439F">
              <w:rPr>
                <w:sz w:val="21"/>
                <w:szCs w:val="21"/>
              </w:rPr>
              <w:t>In a case-control study of 339 patients with PJIs, Berbari et al</w:t>
            </w:r>
            <w:r w:rsidR="00883C82" w:rsidRPr="007E439F">
              <w:rPr>
                <w:sz w:val="21"/>
                <w:szCs w:val="21"/>
                <w:vertAlign w:val="superscript"/>
              </w:rPr>
              <w:t>19</w:t>
            </w:r>
            <w:r w:rsidRPr="007E439F">
              <w:rPr>
                <w:sz w:val="21"/>
                <w:szCs w:val="21"/>
              </w:rPr>
              <w:t xml:space="preserve"> matched cases with 339 control patients without infection and assessed dental procedure as “exposure”.  </w:t>
            </w:r>
            <w:r w:rsidR="00D8361E" w:rsidRPr="007E439F">
              <w:rPr>
                <w:sz w:val="21"/>
                <w:szCs w:val="21"/>
              </w:rPr>
              <w:t>In the immunocompetent patient, t</w:t>
            </w:r>
            <w:r w:rsidRPr="007E439F">
              <w:rPr>
                <w:sz w:val="21"/>
                <w:szCs w:val="21"/>
              </w:rPr>
              <w:t>here was no statistical association between high-risk procedures (i.e. extractions, dental abscess treatment) without AP and PJI at six months or two years</w:t>
            </w:r>
            <w:r w:rsidR="00EB4498" w:rsidRPr="007E439F">
              <w:rPr>
                <w:sz w:val="21"/>
                <w:szCs w:val="21"/>
              </w:rPr>
              <w:t xml:space="preserve">. </w:t>
            </w:r>
            <w:r w:rsidR="00D8361E" w:rsidRPr="007E439F">
              <w:rPr>
                <w:sz w:val="21"/>
                <w:szCs w:val="21"/>
              </w:rPr>
              <w:t xml:space="preserve">The American Association of </w:t>
            </w:r>
            <w:r w:rsidR="00EB4498" w:rsidRPr="007E439F">
              <w:rPr>
                <w:sz w:val="21"/>
                <w:szCs w:val="21"/>
              </w:rPr>
              <w:t>Orthopedic</w:t>
            </w:r>
            <w:r w:rsidR="00D8361E" w:rsidRPr="007E439F">
              <w:rPr>
                <w:sz w:val="21"/>
                <w:szCs w:val="21"/>
              </w:rPr>
              <w:t xml:space="preserve"> Surgeons’</w:t>
            </w:r>
            <w:r w:rsidR="00965C03">
              <w:rPr>
                <w:sz w:val="21"/>
                <w:szCs w:val="21"/>
                <w:vertAlign w:val="superscript"/>
              </w:rPr>
              <w:t>20</w:t>
            </w:r>
            <w:r w:rsidR="00D8361E" w:rsidRPr="007E439F">
              <w:rPr>
                <w:sz w:val="21"/>
                <w:szCs w:val="21"/>
              </w:rPr>
              <w:t xml:space="preserve"> recommend</w:t>
            </w:r>
            <w:r w:rsidR="00EB4498" w:rsidRPr="007E439F">
              <w:rPr>
                <w:sz w:val="21"/>
                <w:szCs w:val="21"/>
              </w:rPr>
              <w:t>s</w:t>
            </w:r>
            <w:r w:rsidR="00D8361E" w:rsidRPr="007E439F">
              <w:rPr>
                <w:sz w:val="21"/>
                <w:szCs w:val="21"/>
              </w:rPr>
              <w:t xml:space="preserve"> prophylaxis for </w:t>
            </w:r>
            <w:r w:rsidR="00B05056" w:rsidRPr="007E439F">
              <w:rPr>
                <w:sz w:val="21"/>
                <w:szCs w:val="21"/>
              </w:rPr>
              <w:t xml:space="preserve">severely </w:t>
            </w:r>
            <w:r w:rsidR="00D8361E" w:rsidRPr="007E439F">
              <w:rPr>
                <w:sz w:val="21"/>
                <w:szCs w:val="21"/>
              </w:rPr>
              <w:t>immunocompromised patients in the fo</w:t>
            </w:r>
            <w:r w:rsidR="00922D55">
              <w:rPr>
                <w:sz w:val="21"/>
                <w:szCs w:val="21"/>
              </w:rPr>
              <w:t>llowing categories: Stage 3 AIDS</w:t>
            </w:r>
            <w:r w:rsidR="00D8361E" w:rsidRPr="007E439F">
              <w:rPr>
                <w:sz w:val="21"/>
                <w:szCs w:val="21"/>
              </w:rPr>
              <w:t xml:space="preserve">, patients undergoing immunosuppressive chemotherapy, immunosuppressed patients with solid organ transplants, and </w:t>
            </w:r>
            <w:r w:rsidR="008C20FE" w:rsidRPr="007E439F">
              <w:rPr>
                <w:sz w:val="21"/>
                <w:szCs w:val="21"/>
              </w:rPr>
              <w:t xml:space="preserve">during certain stages of </w:t>
            </w:r>
            <w:r w:rsidR="00D8361E" w:rsidRPr="007E439F">
              <w:rPr>
                <w:sz w:val="21"/>
                <w:szCs w:val="21"/>
              </w:rPr>
              <w:t>bone marrow tr</w:t>
            </w:r>
            <w:r w:rsidR="00922D55">
              <w:rPr>
                <w:sz w:val="21"/>
                <w:szCs w:val="21"/>
              </w:rPr>
              <w:t>ansplantation.</w:t>
            </w:r>
          </w:p>
        </w:tc>
      </w:tr>
      <w:tr w:rsidR="00B76EDF" w14:paraId="7BAC5507" w14:textId="77777777" w:rsidTr="00F83857">
        <w:tc>
          <w:tcPr>
            <w:tcW w:w="9558" w:type="dxa"/>
            <w:shd w:val="clear" w:color="auto" w:fill="BFBFBF" w:themeFill="background1" w:themeFillShade="BF"/>
          </w:tcPr>
          <w:p w14:paraId="08E60722" w14:textId="77777777" w:rsidR="00B76EDF" w:rsidRDefault="00B76EDF" w:rsidP="00241DC7">
            <w:pPr>
              <w:rPr>
                <w:b/>
              </w:rPr>
            </w:pPr>
            <w:r>
              <w:rPr>
                <w:b/>
              </w:rPr>
              <w:t xml:space="preserve"> Treatment</w:t>
            </w:r>
          </w:p>
        </w:tc>
      </w:tr>
      <w:tr w:rsidR="00B76EDF" w14:paraId="41D1501A" w14:textId="77777777" w:rsidTr="00F83857">
        <w:tc>
          <w:tcPr>
            <w:tcW w:w="9558" w:type="dxa"/>
          </w:tcPr>
          <w:p w14:paraId="1D46D7CB" w14:textId="77777777" w:rsidR="00B76EDF" w:rsidRPr="007E439F" w:rsidRDefault="00B76EDF">
            <w:pPr>
              <w:rPr>
                <w:sz w:val="21"/>
                <w:szCs w:val="21"/>
              </w:rPr>
            </w:pPr>
            <w:r w:rsidRPr="007E439F">
              <w:rPr>
                <w:sz w:val="21"/>
                <w:szCs w:val="21"/>
              </w:rPr>
              <w:t xml:space="preserve">If this practice is being recommended by an orthopedic surgeon and your clinician-to-clinician discussion of risk vs benefit is unable to persuade the surgeon and/or patient away from prophylaxis and the decision is made collectively to prescribe, </w:t>
            </w:r>
            <w:r w:rsidR="00D8361E" w:rsidRPr="007E439F">
              <w:rPr>
                <w:sz w:val="21"/>
                <w:szCs w:val="21"/>
              </w:rPr>
              <w:t xml:space="preserve">the same regimen is followed as that of infective endocarditis prophylaxis. </w:t>
            </w:r>
          </w:p>
        </w:tc>
      </w:tr>
    </w:tbl>
    <w:p w14:paraId="354E2368" w14:textId="77777777" w:rsidR="007E439F" w:rsidRDefault="007E439F" w:rsidP="0072103A">
      <w:pPr>
        <w:spacing w:after="0" w:line="240" w:lineRule="auto"/>
        <w:rPr>
          <w:sz w:val="16"/>
          <w:szCs w:val="16"/>
        </w:rPr>
      </w:pPr>
    </w:p>
    <w:p w14:paraId="58DE8492" w14:textId="77777777" w:rsidR="0051430B" w:rsidRDefault="0051430B" w:rsidP="0051430B">
      <w:pPr>
        <w:spacing w:after="0" w:line="240" w:lineRule="auto"/>
        <w:jc w:val="center"/>
        <w:rPr>
          <w:noProof/>
          <w:sz w:val="18"/>
          <w:szCs w:val="18"/>
        </w:rPr>
      </w:pPr>
      <w:r>
        <w:rPr>
          <w:noProof/>
          <w:sz w:val="18"/>
          <w:szCs w:val="18"/>
        </w:rPr>
        <w:drawing>
          <wp:inline distT="0" distB="0" distL="0" distR="0" wp14:anchorId="22D5FE49" wp14:editId="4E4B7D5B">
            <wp:extent cx="3711687" cy="240585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ff graphic.PNG"/>
                    <pic:cNvPicPr/>
                  </pic:nvPicPr>
                  <pic:blipFill>
                    <a:blip r:embed="rId9">
                      <a:extLst>
                        <a:ext uri="{28A0092B-C50C-407E-A947-70E740481C1C}">
                          <a14:useLocalDpi xmlns:a14="http://schemas.microsoft.com/office/drawing/2010/main" val="0"/>
                        </a:ext>
                      </a:extLst>
                    </a:blip>
                    <a:stretch>
                      <a:fillRect/>
                    </a:stretch>
                  </pic:blipFill>
                  <pic:spPr>
                    <a:xfrm>
                      <a:off x="0" y="0"/>
                      <a:ext cx="3709734" cy="2404588"/>
                    </a:xfrm>
                    <a:prstGeom prst="rect">
                      <a:avLst/>
                    </a:prstGeom>
                  </pic:spPr>
                </pic:pic>
              </a:graphicData>
            </a:graphic>
          </wp:inline>
        </w:drawing>
      </w:r>
    </w:p>
    <w:p w14:paraId="15FAC89E" w14:textId="6B90C534" w:rsidR="00B76EDF" w:rsidRPr="00BB5419" w:rsidRDefault="00B76EDF" w:rsidP="0051430B">
      <w:pPr>
        <w:spacing w:after="0" w:line="240" w:lineRule="auto"/>
        <w:rPr>
          <w:noProof/>
          <w:sz w:val="18"/>
          <w:szCs w:val="18"/>
        </w:rPr>
      </w:pPr>
      <w:bookmarkStart w:id="0" w:name="_GoBack"/>
      <w:bookmarkEnd w:id="0"/>
      <w:r w:rsidRPr="00BB5419">
        <w:rPr>
          <w:sz w:val="21"/>
          <w:szCs w:val="21"/>
        </w:rPr>
        <w:lastRenderedPageBreak/>
        <w:t>References:</w:t>
      </w:r>
    </w:p>
    <w:p w14:paraId="50EF20B3" w14:textId="77777777" w:rsidR="00B76EDF" w:rsidRPr="00BB5419" w:rsidRDefault="00B76EDF" w:rsidP="0072103A">
      <w:pPr>
        <w:spacing w:after="0" w:line="240" w:lineRule="auto"/>
        <w:rPr>
          <w:sz w:val="21"/>
          <w:szCs w:val="21"/>
        </w:rPr>
      </w:pPr>
      <w:r w:rsidRPr="00BB5419">
        <w:rPr>
          <w:sz w:val="21"/>
          <w:szCs w:val="21"/>
          <w:vertAlign w:val="superscript"/>
        </w:rPr>
        <w:t>1</w:t>
      </w:r>
      <w:r w:rsidRPr="00BB5419">
        <w:rPr>
          <w:sz w:val="21"/>
          <w:szCs w:val="21"/>
        </w:rPr>
        <w:t xml:space="preserve">Derkin MJ, </w:t>
      </w:r>
      <w:proofErr w:type="spellStart"/>
      <w:r w:rsidRPr="00BB5419">
        <w:rPr>
          <w:sz w:val="21"/>
          <w:szCs w:val="21"/>
        </w:rPr>
        <w:t>Hseuh</w:t>
      </w:r>
      <w:proofErr w:type="spellEnd"/>
      <w:r w:rsidRPr="00BB5419">
        <w:rPr>
          <w:sz w:val="21"/>
          <w:szCs w:val="21"/>
        </w:rPr>
        <w:t xml:space="preserve"> K, </w:t>
      </w:r>
      <w:proofErr w:type="spellStart"/>
      <w:r w:rsidRPr="00BB5419">
        <w:rPr>
          <w:sz w:val="21"/>
          <w:szCs w:val="21"/>
        </w:rPr>
        <w:t>Sallah</w:t>
      </w:r>
      <w:proofErr w:type="spellEnd"/>
      <w:r w:rsidRPr="00BB5419">
        <w:rPr>
          <w:sz w:val="21"/>
          <w:szCs w:val="21"/>
        </w:rPr>
        <w:t xml:space="preserve"> YH et al.  </w:t>
      </w:r>
      <w:proofErr w:type="gramStart"/>
      <w:r w:rsidRPr="00BB5419">
        <w:rPr>
          <w:sz w:val="21"/>
          <w:szCs w:val="21"/>
        </w:rPr>
        <w:t>An evaluation of dental antibiotic prescribing practices in the US.</w:t>
      </w:r>
      <w:proofErr w:type="gramEnd"/>
      <w:r w:rsidRPr="00BB5419">
        <w:rPr>
          <w:sz w:val="21"/>
          <w:szCs w:val="21"/>
        </w:rPr>
        <w:t xml:space="preserve">  </w:t>
      </w:r>
      <w:proofErr w:type="gramStart"/>
      <w:r w:rsidRPr="00BB5419">
        <w:rPr>
          <w:sz w:val="21"/>
          <w:szCs w:val="21"/>
        </w:rPr>
        <w:t>JADA.</w:t>
      </w:r>
      <w:proofErr w:type="gramEnd"/>
      <w:r w:rsidRPr="00BB5419">
        <w:rPr>
          <w:sz w:val="21"/>
          <w:szCs w:val="21"/>
        </w:rPr>
        <w:t xml:space="preserve">  2017</w:t>
      </w:r>
      <w:proofErr w:type="gramStart"/>
      <w:r w:rsidRPr="00BB5419">
        <w:rPr>
          <w:sz w:val="21"/>
          <w:szCs w:val="21"/>
        </w:rPr>
        <w:t>;148</w:t>
      </w:r>
      <w:proofErr w:type="gramEnd"/>
      <w:r w:rsidRPr="00BB5419">
        <w:rPr>
          <w:sz w:val="21"/>
          <w:szCs w:val="21"/>
        </w:rPr>
        <w:t>(12):878-886 e1.</w:t>
      </w:r>
    </w:p>
    <w:p w14:paraId="00C661ED" w14:textId="77777777" w:rsidR="00B76EDF" w:rsidRPr="00BB5419" w:rsidRDefault="00B76EDF" w:rsidP="0072103A">
      <w:pPr>
        <w:spacing w:after="0" w:line="240" w:lineRule="auto"/>
        <w:rPr>
          <w:sz w:val="21"/>
          <w:szCs w:val="21"/>
        </w:rPr>
      </w:pPr>
      <w:r w:rsidRPr="00BB5419">
        <w:rPr>
          <w:sz w:val="21"/>
          <w:szCs w:val="21"/>
          <w:vertAlign w:val="superscript"/>
        </w:rPr>
        <w:t>2</w:t>
      </w:r>
      <w:r w:rsidRPr="00BB5419">
        <w:rPr>
          <w:sz w:val="21"/>
          <w:szCs w:val="21"/>
        </w:rPr>
        <w:t xml:space="preserve">Gross AE, Hannah D, Rowan SA, </w:t>
      </w:r>
      <w:proofErr w:type="spellStart"/>
      <w:r w:rsidRPr="00BB5419">
        <w:rPr>
          <w:sz w:val="21"/>
          <w:szCs w:val="21"/>
        </w:rPr>
        <w:t>Bleasdale</w:t>
      </w:r>
      <w:proofErr w:type="spellEnd"/>
      <w:r w:rsidRPr="00BB5419">
        <w:rPr>
          <w:sz w:val="21"/>
          <w:szCs w:val="21"/>
        </w:rPr>
        <w:t xml:space="preserve"> SC, </w:t>
      </w:r>
      <w:proofErr w:type="spellStart"/>
      <w:r w:rsidRPr="00BB5419">
        <w:rPr>
          <w:sz w:val="21"/>
          <w:szCs w:val="21"/>
        </w:rPr>
        <w:t>Suda</w:t>
      </w:r>
      <w:proofErr w:type="spellEnd"/>
      <w:r w:rsidRPr="00BB5419">
        <w:rPr>
          <w:sz w:val="21"/>
          <w:szCs w:val="21"/>
        </w:rPr>
        <w:t xml:space="preserve"> KJ.  </w:t>
      </w:r>
      <w:proofErr w:type="gramStart"/>
      <w:r w:rsidRPr="00BB5419">
        <w:rPr>
          <w:sz w:val="21"/>
          <w:szCs w:val="21"/>
        </w:rPr>
        <w:t>Successful implementation of an antibiotic stewardship program in an academic dental practice.</w:t>
      </w:r>
      <w:proofErr w:type="gramEnd"/>
      <w:r w:rsidRPr="00BB5419">
        <w:rPr>
          <w:sz w:val="21"/>
          <w:szCs w:val="21"/>
        </w:rPr>
        <w:t xml:space="preserve">  </w:t>
      </w:r>
      <w:proofErr w:type="gramStart"/>
      <w:r w:rsidRPr="00BB5419">
        <w:rPr>
          <w:sz w:val="21"/>
          <w:szCs w:val="21"/>
        </w:rPr>
        <w:t>OFID.</w:t>
      </w:r>
      <w:proofErr w:type="gramEnd"/>
      <w:r w:rsidRPr="00BB5419">
        <w:rPr>
          <w:sz w:val="21"/>
          <w:szCs w:val="21"/>
        </w:rPr>
        <w:t xml:space="preserve">  2019</w:t>
      </w:r>
      <w:proofErr w:type="gramStart"/>
      <w:r w:rsidRPr="00BB5419">
        <w:rPr>
          <w:sz w:val="21"/>
          <w:szCs w:val="21"/>
        </w:rPr>
        <w:t>;6</w:t>
      </w:r>
      <w:proofErr w:type="gramEnd"/>
      <w:r w:rsidRPr="00BB5419">
        <w:rPr>
          <w:sz w:val="21"/>
          <w:szCs w:val="21"/>
        </w:rPr>
        <w:t>(3):1-6.</w:t>
      </w:r>
    </w:p>
    <w:p w14:paraId="55A76DFB" w14:textId="77777777" w:rsidR="00B76EDF" w:rsidRPr="00BB5419" w:rsidRDefault="00B76EDF" w:rsidP="0072103A">
      <w:pPr>
        <w:spacing w:after="0" w:line="240" w:lineRule="auto"/>
        <w:rPr>
          <w:sz w:val="21"/>
          <w:szCs w:val="21"/>
        </w:rPr>
      </w:pPr>
      <w:r w:rsidRPr="00BB5419">
        <w:rPr>
          <w:sz w:val="21"/>
          <w:szCs w:val="21"/>
          <w:vertAlign w:val="superscript"/>
        </w:rPr>
        <w:t>3</w:t>
      </w:r>
      <w:r w:rsidRPr="00BB5419">
        <w:rPr>
          <w:sz w:val="21"/>
          <w:szCs w:val="21"/>
        </w:rPr>
        <w:t xml:space="preserve">Suda KJ, </w:t>
      </w:r>
      <w:proofErr w:type="spellStart"/>
      <w:r w:rsidRPr="00BB5419">
        <w:rPr>
          <w:sz w:val="21"/>
          <w:szCs w:val="21"/>
        </w:rPr>
        <w:t>Henschel</w:t>
      </w:r>
      <w:proofErr w:type="spellEnd"/>
      <w:r w:rsidRPr="00BB5419">
        <w:rPr>
          <w:sz w:val="21"/>
          <w:szCs w:val="21"/>
        </w:rPr>
        <w:t xml:space="preserve"> H, Patel U et al.  </w:t>
      </w:r>
      <w:proofErr w:type="gramStart"/>
      <w:r w:rsidRPr="00BB5419">
        <w:rPr>
          <w:sz w:val="21"/>
          <w:szCs w:val="21"/>
        </w:rPr>
        <w:t>Use of antibiotic prophylaxis for tooth extractions, dental implants, and periodontal surgical procedures, OFID.</w:t>
      </w:r>
      <w:proofErr w:type="gramEnd"/>
      <w:r w:rsidRPr="00BB5419">
        <w:rPr>
          <w:sz w:val="21"/>
          <w:szCs w:val="21"/>
        </w:rPr>
        <w:t xml:space="preserve">  2018</w:t>
      </w:r>
      <w:proofErr w:type="gramStart"/>
      <w:r w:rsidRPr="00BB5419">
        <w:rPr>
          <w:sz w:val="21"/>
          <w:szCs w:val="21"/>
        </w:rPr>
        <w:t>;5</w:t>
      </w:r>
      <w:proofErr w:type="gramEnd"/>
      <w:r w:rsidRPr="00BB5419">
        <w:rPr>
          <w:sz w:val="21"/>
          <w:szCs w:val="21"/>
        </w:rPr>
        <w:t>(1):1-5.</w:t>
      </w:r>
    </w:p>
    <w:p w14:paraId="13330876" w14:textId="77777777" w:rsidR="00B76EDF" w:rsidRPr="00BB5419" w:rsidRDefault="00B76EDF" w:rsidP="0072103A">
      <w:pPr>
        <w:spacing w:after="0" w:line="240" w:lineRule="auto"/>
        <w:rPr>
          <w:sz w:val="21"/>
          <w:szCs w:val="21"/>
        </w:rPr>
      </w:pPr>
      <w:proofErr w:type="gramStart"/>
      <w:r w:rsidRPr="00BB5419">
        <w:rPr>
          <w:sz w:val="21"/>
          <w:szCs w:val="21"/>
          <w:vertAlign w:val="superscript"/>
        </w:rPr>
        <w:t>4</w:t>
      </w:r>
      <w:r w:rsidRPr="00BB5419">
        <w:rPr>
          <w:sz w:val="21"/>
          <w:szCs w:val="21"/>
        </w:rPr>
        <w:t xml:space="preserve">Loffler C, </w:t>
      </w:r>
      <w:proofErr w:type="spellStart"/>
      <w:r w:rsidRPr="00BB5419">
        <w:rPr>
          <w:sz w:val="21"/>
          <w:szCs w:val="21"/>
        </w:rPr>
        <w:t>Nohmer</w:t>
      </w:r>
      <w:proofErr w:type="spellEnd"/>
      <w:r w:rsidRPr="00BB5419">
        <w:rPr>
          <w:sz w:val="21"/>
          <w:szCs w:val="21"/>
        </w:rPr>
        <w:t xml:space="preserve"> F.</w:t>
      </w:r>
      <w:proofErr w:type="gramEnd"/>
      <w:r w:rsidRPr="00BB5419">
        <w:rPr>
          <w:sz w:val="21"/>
          <w:szCs w:val="21"/>
        </w:rPr>
        <w:t xml:space="preserve">  The effect of interventions aiming to optimize the prescription of antibiotics in dental care: a systemic review.  </w:t>
      </w:r>
      <w:proofErr w:type="spellStart"/>
      <w:proofErr w:type="gramStart"/>
      <w:r w:rsidRPr="00BB5419">
        <w:rPr>
          <w:sz w:val="21"/>
          <w:szCs w:val="21"/>
        </w:rPr>
        <w:t>PloS</w:t>
      </w:r>
      <w:proofErr w:type="spellEnd"/>
      <w:r w:rsidRPr="00BB5419">
        <w:rPr>
          <w:sz w:val="21"/>
          <w:szCs w:val="21"/>
        </w:rPr>
        <w:t xml:space="preserve"> One.</w:t>
      </w:r>
      <w:proofErr w:type="gramEnd"/>
      <w:r w:rsidRPr="00BB5419">
        <w:rPr>
          <w:sz w:val="21"/>
          <w:szCs w:val="21"/>
        </w:rPr>
        <w:t xml:space="preserve"> 2017</w:t>
      </w:r>
      <w:proofErr w:type="gramStart"/>
      <w:r w:rsidRPr="00BB5419">
        <w:rPr>
          <w:sz w:val="21"/>
          <w:szCs w:val="21"/>
        </w:rPr>
        <w:t>;12</w:t>
      </w:r>
      <w:proofErr w:type="gramEnd"/>
      <w:r w:rsidRPr="00BB5419">
        <w:rPr>
          <w:sz w:val="21"/>
          <w:szCs w:val="21"/>
        </w:rPr>
        <w:t>(11):1-23.</w:t>
      </w:r>
    </w:p>
    <w:p w14:paraId="27D84061" w14:textId="77777777" w:rsidR="00B76EDF" w:rsidRPr="00BB5419" w:rsidRDefault="00B76EDF" w:rsidP="0072103A">
      <w:pPr>
        <w:spacing w:after="0" w:line="240" w:lineRule="auto"/>
        <w:rPr>
          <w:sz w:val="21"/>
          <w:szCs w:val="21"/>
        </w:rPr>
      </w:pPr>
      <w:proofErr w:type="gramStart"/>
      <w:r w:rsidRPr="00BB5419">
        <w:rPr>
          <w:sz w:val="21"/>
          <w:szCs w:val="21"/>
          <w:vertAlign w:val="superscript"/>
        </w:rPr>
        <w:t>5</w:t>
      </w:r>
      <w:r w:rsidRPr="00BB5419">
        <w:rPr>
          <w:sz w:val="21"/>
          <w:szCs w:val="21"/>
        </w:rPr>
        <w:t>Siegel JD and Epson E.</w:t>
      </w:r>
      <w:proofErr w:type="gramEnd"/>
      <w:r w:rsidRPr="00BB5419">
        <w:rPr>
          <w:sz w:val="21"/>
          <w:szCs w:val="21"/>
        </w:rPr>
        <w:t xml:space="preserve">  Antibiotic Prescribing and Stewardship in Dentistry:  A Public Health Perspective.  </w:t>
      </w:r>
      <w:proofErr w:type="gramStart"/>
      <w:r w:rsidRPr="00BB5419">
        <w:rPr>
          <w:sz w:val="21"/>
          <w:szCs w:val="21"/>
        </w:rPr>
        <w:t>Journal of the California Dental Association.</w:t>
      </w:r>
      <w:proofErr w:type="gramEnd"/>
      <w:r w:rsidRPr="00BB5419">
        <w:rPr>
          <w:sz w:val="21"/>
          <w:szCs w:val="21"/>
        </w:rPr>
        <w:t xml:space="preserve">  </w:t>
      </w:r>
      <w:proofErr w:type="gramStart"/>
      <w:r w:rsidRPr="00BB5419">
        <w:rPr>
          <w:sz w:val="21"/>
          <w:szCs w:val="21"/>
        </w:rPr>
        <w:t>2018;</w:t>
      </w:r>
      <w:proofErr w:type="gramEnd"/>
      <w:r w:rsidRPr="00BB5419">
        <w:rPr>
          <w:sz w:val="21"/>
          <w:szCs w:val="21"/>
        </w:rPr>
        <w:t>(46):755-765.</w:t>
      </w:r>
    </w:p>
    <w:p w14:paraId="2E2A94D8" w14:textId="77777777" w:rsidR="00B76EDF" w:rsidRPr="00BB5419" w:rsidRDefault="00B76EDF" w:rsidP="0072103A">
      <w:pPr>
        <w:spacing w:after="0" w:line="240" w:lineRule="auto"/>
        <w:rPr>
          <w:color w:val="000000"/>
          <w:sz w:val="21"/>
          <w:szCs w:val="21"/>
        </w:rPr>
      </w:pPr>
      <w:r w:rsidRPr="00BB5419">
        <w:rPr>
          <w:sz w:val="21"/>
          <w:szCs w:val="21"/>
          <w:vertAlign w:val="superscript"/>
        </w:rPr>
        <w:t>6</w:t>
      </w:r>
      <w:r w:rsidRPr="00BB5419">
        <w:rPr>
          <w:color w:val="000000"/>
          <w:sz w:val="21"/>
          <w:szCs w:val="21"/>
        </w:rPr>
        <w:t xml:space="preserve">Lockhart PB, </w:t>
      </w:r>
      <w:proofErr w:type="spellStart"/>
      <w:r w:rsidRPr="00BB5419">
        <w:rPr>
          <w:color w:val="000000"/>
          <w:sz w:val="21"/>
          <w:szCs w:val="21"/>
        </w:rPr>
        <w:t>Tampi</w:t>
      </w:r>
      <w:proofErr w:type="spellEnd"/>
      <w:r w:rsidRPr="00BB5419">
        <w:rPr>
          <w:color w:val="000000"/>
          <w:sz w:val="21"/>
          <w:szCs w:val="21"/>
        </w:rPr>
        <w:t xml:space="preserve"> MP, </w:t>
      </w:r>
      <w:proofErr w:type="spellStart"/>
      <w:r w:rsidRPr="00BB5419">
        <w:rPr>
          <w:color w:val="000000"/>
          <w:sz w:val="21"/>
          <w:szCs w:val="21"/>
        </w:rPr>
        <w:t>Abt</w:t>
      </w:r>
      <w:proofErr w:type="spellEnd"/>
      <w:r w:rsidRPr="00BB5419">
        <w:rPr>
          <w:color w:val="000000"/>
          <w:sz w:val="21"/>
          <w:szCs w:val="21"/>
        </w:rPr>
        <w:t xml:space="preserve"> E et al. Evidence-based clinical practice guideline on antibiotic use for the urgent management of pulpal- and periapical-related dental pain and intraoral swelling. </w:t>
      </w:r>
      <w:proofErr w:type="gramStart"/>
      <w:r w:rsidRPr="00BB5419">
        <w:rPr>
          <w:color w:val="000000"/>
          <w:sz w:val="21"/>
          <w:szCs w:val="21"/>
        </w:rPr>
        <w:t>JADA.</w:t>
      </w:r>
      <w:proofErr w:type="gramEnd"/>
      <w:r w:rsidRPr="00BB5419">
        <w:rPr>
          <w:color w:val="000000"/>
          <w:sz w:val="21"/>
          <w:szCs w:val="21"/>
        </w:rPr>
        <w:t xml:space="preserve"> 2019:150(11)</w:t>
      </w:r>
      <w:proofErr w:type="gramStart"/>
      <w:r w:rsidRPr="00BB5419">
        <w:rPr>
          <w:color w:val="000000"/>
          <w:sz w:val="21"/>
          <w:szCs w:val="21"/>
        </w:rPr>
        <w:t>;906</w:t>
      </w:r>
      <w:proofErr w:type="gramEnd"/>
      <w:r w:rsidRPr="00BB5419">
        <w:rPr>
          <w:color w:val="000000"/>
          <w:sz w:val="21"/>
          <w:szCs w:val="21"/>
        </w:rPr>
        <w:t>-921.e12.</w:t>
      </w:r>
    </w:p>
    <w:p w14:paraId="329CE083" w14:textId="77777777" w:rsidR="00B76EDF" w:rsidRPr="00BB5419" w:rsidRDefault="00B76EDF" w:rsidP="0072103A">
      <w:pPr>
        <w:pStyle w:val="NormalWeb"/>
        <w:spacing w:before="0" w:beforeAutospacing="0" w:after="0" w:afterAutospacing="0"/>
        <w:rPr>
          <w:rFonts w:asciiTheme="minorHAnsi" w:hAnsiTheme="minorHAnsi"/>
          <w:color w:val="000000"/>
          <w:sz w:val="21"/>
          <w:szCs w:val="21"/>
        </w:rPr>
      </w:pPr>
      <w:r w:rsidRPr="00BB5419">
        <w:rPr>
          <w:rFonts w:asciiTheme="minorHAnsi" w:hAnsiTheme="minorHAnsi"/>
          <w:sz w:val="21"/>
          <w:szCs w:val="21"/>
          <w:vertAlign w:val="superscript"/>
        </w:rPr>
        <w:t>7</w:t>
      </w:r>
      <w:r w:rsidRPr="00BB5419">
        <w:rPr>
          <w:rFonts w:asciiTheme="minorHAnsi" w:hAnsiTheme="minorHAnsi"/>
          <w:color w:val="000000"/>
          <w:sz w:val="21"/>
          <w:szCs w:val="21"/>
        </w:rPr>
        <w:t xml:space="preserve">Moore PA, Ziegler KM, </w:t>
      </w:r>
      <w:proofErr w:type="spellStart"/>
      <w:r w:rsidRPr="00BB5419">
        <w:rPr>
          <w:rFonts w:asciiTheme="minorHAnsi" w:hAnsiTheme="minorHAnsi"/>
          <w:color w:val="000000"/>
          <w:sz w:val="21"/>
          <w:szCs w:val="21"/>
        </w:rPr>
        <w:t>Lipman</w:t>
      </w:r>
      <w:proofErr w:type="spellEnd"/>
      <w:r w:rsidRPr="00BB5419">
        <w:rPr>
          <w:rFonts w:asciiTheme="minorHAnsi" w:hAnsiTheme="minorHAnsi"/>
          <w:color w:val="000000"/>
          <w:sz w:val="21"/>
          <w:szCs w:val="21"/>
        </w:rPr>
        <w:t xml:space="preserve"> RD, </w:t>
      </w:r>
      <w:proofErr w:type="spellStart"/>
      <w:r w:rsidRPr="00BB5419">
        <w:rPr>
          <w:rFonts w:asciiTheme="minorHAnsi" w:hAnsiTheme="minorHAnsi"/>
          <w:color w:val="000000"/>
          <w:sz w:val="21"/>
          <w:szCs w:val="21"/>
        </w:rPr>
        <w:t>Aminoshariae</w:t>
      </w:r>
      <w:proofErr w:type="spellEnd"/>
      <w:r w:rsidRPr="00BB5419">
        <w:rPr>
          <w:rFonts w:asciiTheme="minorHAnsi" w:hAnsiTheme="minorHAnsi"/>
          <w:color w:val="000000"/>
          <w:sz w:val="21"/>
          <w:szCs w:val="21"/>
        </w:rPr>
        <w:t xml:space="preserve"> A, Carrasco-Labra A, </w:t>
      </w:r>
      <w:proofErr w:type="spellStart"/>
      <w:r w:rsidRPr="00BB5419">
        <w:rPr>
          <w:rFonts w:asciiTheme="minorHAnsi" w:hAnsiTheme="minorHAnsi"/>
          <w:color w:val="000000"/>
          <w:sz w:val="21"/>
          <w:szCs w:val="21"/>
        </w:rPr>
        <w:t>Mariotti</w:t>
      </w:r>
      <w:proofErr w:type="spellEnd"/>
      <w:r w:rsidRPr="00BB5419">
        <w:rPr>
          <w:rFonts w:asciiTheme="minorHAnsi" w:hAnsiTheme="minorHAnsi"/>
          <w:color w:val="000000"/>
          <w:sz w:val="21"/>
          <w:szCs w:val="21"/>
        </w:rPr>
        <w:t xml:space="preserve"> A. Benefits and harms associated with analgesic medications used in the management of acute dental pain: an overview of systemic reviews. </w:t>
      </w:r>
      <w:proofErr w:type="gramStart"/>
      <w:r w:rsidRPr="00BB5419">
        <w:rPr>
          <w:rFonts w:asciiTheme="minorHAnsi" w:hAnsiTheme="minorHAnsi"/>
          <w:color w:val="000000"/>
          <w:sz w:val="21"/>
          <w:szCs w:val="21"/>
        </w:rPr>
        <w:t>JADA.</w:t>
      </w:r>
      <w:proofErr w:type="gramEnd"/>
      <w:r w:rsidRPr="00BB5419">
        <w:rPr>
          <w:rFonts w:asciiTheme="minorHAnsi" w:hAnsiTheme="minorHAnsi"/>
          <w:color w:val="000000"/>
          <w:sz w:val="21"/>
          <w:szCs w:val="21"/>
        </w:rPr>
        <w:t xml:space="preserve"> 2018</w:t>
      </w:r>
      <w:proofErr w:type="gramStart"/>
      <w:r w:rsidRPr="00BB5419">
        <w:rPr>
          <w:rFonts w:asciiTheme="minorHAnsi" w:hAnsiTheme="minorHAnsi"/>
          <w:color w:val="000000"/>
          <w:sz w:val="21"/>
          <w:szCs w:val="21"/>
        </w:rPr>
        <w:t>;149</w:t>
      </w:r>
      <w:proofErr w:type="gramEnd"/>
      <w:r w:rsidRPr="00BB5419">
        <w:rPr>
          <w:rFonts w:asciiTheme="minorHAnsi" w:hAnsiTheme="minorHAnsi"/>
          <w:color w:val="000000"/>
          <w:sz w:val="21"/>
          <w:szCs w:val="21"/>
        </w:rPr>
        <w:t>(4):256-265 e3.</w:t>
      </w:r>
    </w:p>
    <w:p w14:paraId="475DC45A" w14:textId="00E3065C" w:rsidR="00B76EDF" w:rsidRPr="00BB5419" w:rsidRDefault="00B76EDF" w:rsidP="0072103A">
      <w:pPr>
        <w:pStyle w:val="NormalWeb"/>
        <w:spacing w:before="0" w:beforeAutospacing="0" w:after="0" w:afterAutospacing="0"/>
        <w:rPr>
          <w:rFonts w:asciiTheme="minorHAnsi" w:hAnsiTheme="minorHAnsi"/>
          <w:color w:val="000000"/>
          <w:sz w:val="21"/>
          <w:szCs w:val="21"/>
        </w:rPr>
      </w:pPr>
      <w:proofErr w:type="gramStart"/>
      <w:r w:rsidRPr="00BB5419">
        <w:rPr>
          <w:rFonts w:asciiTheme="minorHAnsi" w:hAnsiTheme="minorHAnsi"/>
          <w:color w:val="000000"/>
          <w:sz w:val="21"/>
          <w:szCs w:val="21"/>
          <w:vertAlign w:val="superscript"/>
        </w:rPr>
        <w:t>8</w:t>
      </w:r>
      <w:r w:rsidRPr="00BB5419">
        <w:rPr>
          <w:rFonts w:asciiTheme="minorHAnsi" w:hAnsiTheme="minorHAnsi"/>
          <w:color w:val="000000"/>
          <w:sz w:val="21"/>
          <w:szCs w:val="21"/>
        </w:rPr>
        <w:t>Blumenthal KG, Pet</w:t>
      </w:r>
      <w:r w:rsidR="00965C03" w:rsidRPr="00BB5419">
        <w:rPr>
          <w:rFonts w:asciiTheme="minorHAnsi" w:hAnsiTheme="minorHAnsi"/>
          <w:color w:val="000000"/>
          <w:sz w:val="21"/>
          <w:szCs w:val="21"/>
        </w:rPr>
        <w:t xml:space="preserve">er JG, </w:t>
      </w:r>
      <w:proofErr w:type="spellStart"/>
      <w:r w:rsidR="00965C03" w:rsidRPr="00BB5419">
        <w:rPr>
          <w:rFonts w:asciiTheme="minorHAnsi" w:hAnsiTheme="minorHAnsi"/>
          <w:color w:val="000000"/>
          <w:sz w:val="21"/>
          <w:szCs w:val="21"/>
        </w:rPr>
        <w:t>Trubiano</w:t>
      </w:r>
      <w:proofErr w:type="spellEnd"/>
      <w:r w:rsidR="00965C03" w:rsidRPr="00BB5419">
        <w:rPr>
          <w:rFonts w:asciiTheme="minorHAnsi" w:hAnsiTheme="minorHAnsi"/>
          <w:color w:val="000000"/>
          <w:sz w:val="21"/>
          <w:szCs w:val="21"/>
        </w:rPr>
        <w:t xml:space="preserve"> JA et al.</w:t>
      </w:r>
      <w:r w:rsidRPr="00BB5419">
        <w:rPr>
          <w:rFonts w:asciiTheme="minorHAnsi" w:hAnsiTheme="minorHAnsi"/>
          <w:color w:val="000000"/>
          <w:sz w:val="21"/>
          <w:szCs w:val="21"/>
        </w:rPr>
        <w:t xml:space="preserve"> Antibiotic Allergy.</w:t>
      </w:r>
      <w:proofErr w:type="gramEnd"/>
      <w:r w:rsidRPr="00BB5419">
        <w:rPr>
          <w:rFonts w:asciiTheme="minorHAnsi" w:hAnsiTheme="minorHAnsi"/>
          <w:color w:val="000000"/>
          <w:sz w:val="21"/>
          <w:szCs w:val="21"/>
        </w:rPr>
        <w:t xml:space="preserve"> </w:t>
      </w:r>
      <w:proofErr w:type="gramStart"/>
      <w:r w:rsidRPr="00BB5419">
        <w:rPr>
          <w:rFonts w:asciiTheme="minorHAnsi" w:hAnsiTheme="minorHAnsi"/>
          <w:color w:val="000000"/>
          <w:sz w:val="21"/>
          <w:szCs w:val="21"/>
        </w:rPr>
        <w:t>Lancet.</w:t>
      </w:r>
      <w:proofErr w:type="gramEnd"/>
      <w:r w:rsidRPr="00BB5419">
        <w:rPr>
          <w:rFonts w:asciiTheme="minorHAnsi" w:hAnsiTheme="minorHAnsi"/>
          <w:color w:val="000000"/>
          <w:sz w:val="21"/>
          <w:szCs w:val="21"/>
        </w:rPr>
        <w:t xml:space="preserve"> 2019</w:t>
      </w:r>
      <w:proofErr w:type="gramStart"/>
      <w:r w:rsidRPr="00BB5419">
        <w:rPr>
          <w:rFonts w:asciiTheme="minorHAnsi" w:hAnsiTheme="minorHAnsi"/>
          <w:color w:val="000000"/>
          <w:sz w:val="21"/>
          <w:szCs w:val="21"/>
        </w:rPr>
        <w:t>;393</w:t>
      </w:r>
      <w:proofErr w:type="gramEnd"/>
      <w:r w:rsidRPr="00BB5419">
        <w:rPr>
          <w:rFonts w:asciiTheme="minorHAnsi" w:hAnsiTheme="minorHAnsi"/>
          <w:color w:val="000000"/>
          <w:sz w:val="21"/>
          <w:szCs w:val="21"/>
        </w:rPr>
        <w:t>(10167):187-198.</w:t>
      </w:r>
    </w:p>
    <w:p w14:paraId="73428476" w14:textId="77777777" w:rsidR="00B76EDF" w:rsidRPr="00BB5419" w:rsidRDefault="00B76EDF" w:rsidP="0072103A">
      <w:pPr>
        <w:pStyle w:val="NormalWeb"/>
        <w:spacing w:before="0" w:beforeAutospacing="0" w:after="0" w:afterAutospacing="0"/>
        <w:rPr>
          <w:rFonts w:asciiTheme="minorHAnsi" w:hAnsiTheme="minorHAnsi"/>
          <w:color w:val="000000"/>
          <w:sz w:val="21"/>
          <w:szCs w:val="21"/>
        </w:rPr>
      </w:pPr>
      <w:r w:rsidRPr="00BB5419">
        <w:rPr>
          <w:rFonts w:asciiTheme="minorHAnsi" w:hAnsiTheme="minorHAnsi"/>
          <w:color w:val="000000"/>
          <w:sz w:val="21"/>
          <w:szCs w:val="21"/>
          <w:vertAlign w:val="superscript"/>
        </w:rPr>
        <w:t>9</w:t>
      </w:r>
      <w:r w:rsidRPr="00BB5419">
        <w:rPr>
          <w:rFonts w:asciiTheme="minorHAnsi" w:hAnsiTheme="minorHAnsi"/>
          <w:color w:val="000000"/>
          <w:sz w:val="21"/>
          <w:szCs w:val="21"/>
        </w:rPr>
        <w:t>Gross AE et al. “SHEA Featured Oral Abstract: Serious Antibiotic-Related Adverse Effects Following Unnecessary Dental Prophylaxis in the United States” ID Week 2019; Abstract 1895.</w:t>
      </w:r>
    </w:p>
    <w:p w14:paraId="507ED490" w14:textId="38543676" w:rsidR="00883C82" w:rsidRPr="00BB5419" w:rsidRDefault="00B76EDF" w:rsidP="0072103A">
      <w:pPr>
        <w:pStyle w:val="NormalWeb"/>
        <w:spacing w:before="0" w:beforeAutospacing="0" w:after="0" w:afterAutospacing="0"/>
        <w:rPr>
          <w:rFonts w:asciiTheme="minorHAnsi" w:hAnsiTheme="minorHAnsi"/>
          <w:color w:val="000000"/>
          <w:sz w:val="21"/>
          <w:szCs w:val="21"/>
        </w:rPr>
      </w:pPr>
      <w:r w:rsidRPr="00BB5419">
        <w:rPr>
          <w:rFonts w:asciiTheme="minorHAnsi" w:hAnsiTheme="minorHAnsi"/>
          <w:color w:val="000000"/>
          <w:sz w:val="21"/>
          <w:szCs w:val="21"/>
          <w:vertAlign w:val="superscript"/>
        </w:rPr>
        <w:t>10</w:t>
      </w:r>
      <w:r w:rsidR="003910FD" w:rsidRPr="00BB5419">
        <w:rPr>
          <w:rFonts w:asciiTheme="minorHAnsi" w:hAnsiTheme="minorHAnsi"/>
          <w:color w:val="000000"/>
          <w:sz w:val="21"/>
          <w:szCs w:val="21"/>
        </w:rPr>
        <w:t xml:space="preserve">Hupp J, Elis E and Tucker M.  </w:t>
      </w:r>
      <w:proofErr w:type="gramStart"/>
      <w:r w:rsidR="003910FD" w:rsidRPr="00BB5419">
        <w:rPr>
          <w:rFonts w:asciiTheme="minorHAnsi" w:hAnsiTheme="minorHAnsi"/>
          <w:color w:val="000000"/>
          <w:sz w:val="21"/>
          <w:szCs w:val="21"/>
        </w:rPr>
        <w:t>Contemporary oral and maxillofacial survey, 2019.</w:t>
      </w:r>
      <w:proofErr w:type="gramEnd"/>
      <w:r w:rsidR="003910FD" w:rsidRPr="00BB5419">
        <w:rPr>
          <w:rFonts w:asciiTheme="minorHAnsi" w:hAnsiTheme="minorHAnsi"/>
          <w:color w:val="000000"/>
          <w:sz w:val="21"/>
          <w:szCs w:val="21"/>
        </w:rPr>
        <w:t xml:space="preserve">  7</w:t>
      </w:r>
      <w:r w:rsidR="003910FD" w:rsidRPr="00BB5419">
        <w:rPr>
          <w:rFonts w:asciiTheme="minorHAnsi" w:hAnsiTheme="minorHAnsi"/>
          <w:color w:val="000000"/>
          <w:sz w:val="21"/>
          <w:szCs w:val="21"/>
          <w:vertAlign w:val="superscript"/>
        </w:rPr>
        <w:t>th</w:t>
      </w:r>
      <w:r w:rsidR="003910FD" w:rsidRPr="00BB5419">
        <w:rPr>
          <w:rFonts w:asciiTheme="minorHAnsi" w:hAnsiTheme="minorHAnsi"/>
          <w:color w:val="000000"/>
          <w:sz w:val="21"/>
          <w:szCs w:val="21"/>
        </w:rPr>
        <w:t xml:space="preserve"> ed. Philadelphia: Elsevier, p. 163.</w:t>
      </w:r>
    </w:p>
    <w:p w14:paraId="59E0A5EA" w14:textId="2CAD6856" w:rsidR="00B76EDF" w:rsidRPr="00BB5419" w:rsidRDefault="00B76EDF" w:rsidP="0072103A">
      <w:pPr>
        <w:pStyle w:val="NormalWeb"/>
        <w:spacing w:before="0" w:beforeAutospacing="0" w:after="0" w:afterAutospacing="0"/>
        <w:rPr>
          <w:rFonts w:asciiTheme="minorHAnsi" w:hAnsiTheme="minorHAnsi"/>
          <w:color w:val="000000"/>
          <w:sz w:val="21"/>
          <w:szCs w:val="21"/>
        </w:rPr>
      </w:pPr>
      <w:r w:rsidRPr="00BB5419">
        <w:rPr>
          <w:rFonts w:asciiTheme="minorHAnsi" w:hAnsiTheme="minorHAnsi"/>
          <w:color w:val="000000"/>
          <w:sz w:val="21"/>
          <w:szCs w:val="21"/>
        </w:rPr>
        <w:t xml:space="preserve">Stein K, Farmer J, </w:t>
      </w:r>
      <w:proofErr w:type="spellStart"/>
      <w:r w:rsidRPr="00BB5419">
        <w:rPr>
          <w:rFonts w:asciiTheme="minorHAnsi" w:hAnsiTheme="minorHAnsi"/>
          <w:color w:val="000000"/>
          <w:sz w:val="21"/>
          <w:szCs w:val="21"/>
        </w:rPr>
        <w:t>Singhal</w:t>
      </w:r>
      <w:proofErr w:type="spellEnd"/>
      <w:r w:rsidRPr="00BB5419">
        <w:rPr>
          <w:rFonts w:asciiTheme="minorHAnsi" w:hAnsiTheme="minorHAnsi"/>
          <w:color w:val="000000"/>
          <w:sz w:val="21"/>
          <w:szCs w:val="21"/>
        </w:rPr>
        <w:t xml:space="preserve"> S, </w:t>
      </w:r>
      <w:proofErr w:type="spellStart"/>
      <w:r w:rsidRPr="00BB5419">
        <w:rPr>
          <w:rFonts w:asciiTheme="minorHAnsi" w:hAnsiTheme="minorHAnsi"/>
          <w:color w:val="000000"/>
          <w:sz w:val="21"/>
          <w:szCs w:val="21"/>
        </w:rPr>
        <w:t>Marra</w:t>
      </w:r>
      <w:proofErr w:type="spellEnd"/>
      <w:r w:rsidRPr="00BB5419">
        <w:rPr>
          <w:rFonts w:asciiTheme="minorHAnsi" w:hAnsiTheme="minorHAnsi"/>
          <w:color w:val="000000"/>
          <w:sz w:val="21"/>
          <w:szCs w:val="21"/>
        </w:rPr>
        <w:t xml:space="preserve"> F, Sutherland S, </w:t>
      </w:r>
      <w:proofErr w:type="spellStart"/>
      <w:r w:rsidRPr="00BB5419">
        <w:rPr>
          <w:rFonts w:asciiTheme="minorHAnsi" w:hAnsiTheme="minorHAnsi"/>
          <w:color w:val="000000"/>
          <w:sz w:val="21"/>
          <w:szCs w:val="21"/>
        </w:rPr>
        <w:t>Quinonez</w:t>
      </w:r>
      <w:proofErr w:type="spellEnd"/>
      <w:r w:rsidRPr="00BB5419">
        <w:rPr>
          <w:rFonts w:asciiTheme="minorHAnsi" w:hAnsiTheme="minorHAnsi"/>
          <w:color w:val="000000"/>
          <w:sz w:val="21"/>
          <w:szCs w:val="21"/>
        </w:rPr>
        <w:t xml:space="preserve"> C. The use and misuse of antibiotics in dentistry: a scoping review. </w:t>
      </w:r>
      <w:proofErr w:type="gramStart"/>
      <w:r w:rsidRPr="00BB5419">
        <w:rPr>
          <w:rFonts w:asciiTheme="minorHAnsi" w:hAnsiTheme="minorHAnsi"/>
          <w:color w:val="000000"/>
          <w:sz w:val="21"/>
          <w:szCs w:val="21"/>
        </w:rPr>
        <w:t>JADA.</w:t>
      </w:r>
      <w:proofErr w:type="gramEnd"/>
      <w:r w:rsidRPr="00BB5419">
        <w:rPr>
          <w:rFonts w:asciiTheme="minorHAnsi" w:hAnsiTheme="minorHAnsi"/>
          <w:color w:val="000000"/>
          <w:sz w:val="21"/>
          <w:szCs w:val="21"/>
        </w:rPr>
        <w:t xml:space="preserve"> 2018</w:t>
      </w:r>
      <w:proofErr w:type="gramStart"/>
      <w:r w:rsidRPr="00BB5419">
        <w:rPr>
          <w:rFonts w:asciiTheme="minorHAnsi" w:hAnsiTheme="minorHAnsi"/>
          <w:color w:val="000000"/>
          <w:sz w:val="21"/>
          <w:szCs w:val="21"/>
        </w:rPr>
        <w:t>;149</w:t>
      </w:r>
      <w:proofErr w:type="gramEnd"/>
      <w:r w:rsidRPr="00BB5419">
        <w:rPr>
          <w:rFonts w:asciiTheme="minorHAnsi" w:hAnsiTheme="minorHAnsi"/>
          <w:color w:val="000000"/>
          <w:sz w:val="21"/>
          <w:szCs w:val="21"/>
        </w:rPr>
        <w:t>(10):869-884 e5.</w:t>
      </w:r>
    </w:p>
    <w:p w14:paraId="138884C9" w14:textId="11BA3060" w:rsidR="00883C82" w:rsidRPr="00BB5419" w:rsidRDefault="00B76EDF" w:rsidP="0072103A">
      <w:pPr>
        <w:spacing w:after="0" w:line="240" w:lineRule="auto"/>
        <w:rPr>
          <w:sz w:val="21"/>
          <w:szCs w:val="21"/>
        </w:rPr>
      </w:pPr>
      <w:r w:rsidRPr="00BB5419">
        <w:rPr>
          <w:sz w:val="21"/>
          <w:szCs w:val="21"/>
          <w:vertAlign w:val="superscript"/>
        </w:rPr>
        <w:t>11</w:t>
      </w:r>
      <w:r w:rsidR="003910FD" w:rsidRPr="00BB5419">
        <w:rPr>
          <w:sz w:val="21"/>
          <w:szCs w:val="21"/>
        </w:rPr>
        <w:t xml:space="preserve">Blakey GH, White RP, </w:t>
      </w:r>
      <w:proofErr w:type="spellStart"/>
      <w:r w:rsidR="003910FD" w:rsidRPr="00BB5419">
        <w:rPr>
          <w:sz w:val="21"/>
          <w:szCs w:val="21"/>
        </w:rPr>
        <w:t>Offenbacher</w:t>
      </w:r>
      <w:proofErr w:type="spellEnd"/>
      <w:r w:rsidR="003910FD" w:rsidRPr="00BB5419">
        <w:rPr>
          <w:sz w:val="21"/>
          <w:szCs w:val="21"/>
        </w:rPr>
        <w:t xml:space="preserve"> S et al.  </w:t>
      </w:r>
      <w:proofErr w:type="gramStart"/>
      <w:r w:rsidR="003910FD" w:rsidRPr="00BB5419">
        <w:rPr>
          <w:sz w:val="21"/>
          <w:szCs w:val="21"/>
        </w:rPr>
        <w:t>Clinical/biological outcomes of treatment for pericoronitis.</w:t>
      </w:r>
      <w:proofErr w:type="gramEnd"/>
      <w:r w:rsidR="003910FD" w:rsidRPr="00BB5419">
        <w:rPr>
          <w:sz w:val="21"/>
          <w:szCs w:val="21"/>
        </w:rPr>
        <w:t xml:space="preserve">  Journal of Oral and Maxillofacial Survey 1996, 54(10), 1150-1160.</w:t>
      </w:r>
    </w:p>
    <w:p w14:paraId="1A49F660" w14:textId="7ADBD539" w:rsidR="00B76EDF" w:rsidRPr="00BB5419" w:rsidRDefault="003910FD" w:rsidP="0072103A">
      <w:pPr>
        <w:spacing w:after="0" w:line="240" w:lineRule="auto"/>
        <w:rPr>
          <w:sz w:val="21"/>
          <w:szCs w:val="21"/>
        </w:rPr>
      </w:pPr>
      <w:proofErr w:type="gramStart"/>
      <w:r w:rsidRPr="00BB5419">
        <w:rPr>
          <w:sz w:val="21"/>
          <w:szCs w:val="21"/>
          <w:vertAlign w:val="superscript"/>
        </w:rPr>
        <w:t>12</w:t>
      </w:r>
      <w:r w:rsidR="00B76EDF" w:rsidRPr="00BB5419">
        <w:rPr>
          <w:sz w:val="21"/>
          <w:szCs w:val="21"/>
        </w:rPr>
        <w:t xml:space="preserve">Wilson W, </w:t>
      </w:r>
      <w:proofErr w:type="spellStart"/>
      <w:r w:rsidR="00B76EDF" w:rsidRPr="00BB5419">
        <w:rPr>
          <w:sz w:val="21"/>
          <w:szCs w:val="21"/>
        </w:rPr>
        <w:t>Taubert</w:t>
      </w:r>
      <w:proofErr w:type="spellEnd"/>
      <w:r w:rsidR="00B76EDF" w:rsidRPr="00BB5419">
        <w:rPr>
          <w:sz w:val="21"/>
          <w:szCs w:val="21"/>
        </w:rPr>
        <w:t xml:space="preserve"> KA, </w:t>
      </w:r>
      <w:proofErr w:type="spellStart"/>
      <w:r w:rsidR="00B76EDF" w:rsidRPr="00BB5419">
        <w:rPr>
          <w:sz w:val="21"/>
          <w:szCs w:val="21"/>
        </w:rPr>
        <w:t>Gewitz</w:t>
      </w:r>
      <w:proofErr w:type="spellEnd"/>
      <w:r w:rsidR="00B76EDF" w:rsidRPr="00BB5419">
        <w:rPr>
          <w:sz w:val="21"/>
          <w:szCs w:val="21"/>
        </w:rPr>
        <w:t xml:space="preserve"> M et al.</w:t>
      </w:r>
      <w:proofErr w:type="gramEnd"/>
      <w:r w:rsidR="00B76EDF" w:rsidRPr="00BB5419">
        <w:rPr>
          <w:sz w:val="21"/>
          <w:szCs w:val="21"/>
        </w:rPr>
        <w:t xml:space="preserve">  Prevention of infective endocarditis:  Guidelines from the American Health Association.  JADA 2008 Jan</w:t>
      </w:r>
      <w:proofErr w:type="gramStart"/>
      <w:r w:rsidR="00B76EDF" w:rsidRPr="00BB5419">
        <w:rPr>
          <w:sz w:val="21"/>
          <w:szCs w:val="21"/>
        </w:rPr>
        <w:t>;139</w:t>
      </w:r>
      <w:proofErr w:type="gramEnd"/>
      <w:r w:rsidR="00B76EDF" w:rsidRPr="00BB5419">
        <w:rPr>
          <w:sz w:val="21"/>
          <w:szCs w:val="21"/>
        </w:rPr>
        <w:t xml:space="preserve"> Suppl:3S-24S.</w:t>
      </w:r>
    </w:p>
    <w:p w14:paraId="227D77BA" w14:textId="50333057" w:rsidR="00B76EDF" w:rsidRPr="00BB5419" w:rsidRDefault="003910FD" w:rsidP="0072103A">
      <w:pPr>
        <w:spacing w:after="0" w:line="240" w:lineRule="auto"/>
        <w:rPr>
          <w:rFonts w:cs="Arial"/>
          <w:color w:val="000000"/>
          <w:sz w:val="21"/>
          <w:szCs w:val="21"/>
          <w:shd w:val="clear" w:color="auto" w:fill="FFFFFF"/>
        </w:rPr>
      </w:pPr>
      <w:proofErr w:type="gramStart"/>
      <w:r w:rsidRPr="00BB5419">
        <w:rPr>
          <w:sz w:val="21"/>
          <w:szCs w:val="21"/>
          <w:vertAlign w:val="superscript"/>
        </w:rPr>
        <w:t>13</w:t>
      </w:r>
      <w:r w:rsidR="00B76EDF" w:rsidRPr="00BB5419">
        <w:rPr>
          <w:sz w:val="21"/>
          <w:szCs w:val="21"/>
        </w:rPr>
        <w:t xml:space="preserve">Goff DA, </w:t>
      </w:r>
      <w:proofErr w:type="spellStart"/>
      <w:r w:rsidR="00B76EDF" w:rsidRPr="00BB5419">
        <w:rPr>
          <w:sz w:val="21"/>
          <w:szCs w:val="21"/>
        </w:rPr>
        <w:t>Mangino</w:t>
      </w:r>
      <w:proofErr w:type="spellEnd"/>
      <w:r w:rsidR="00B76EDF" w:rsidRPr="00BB5419">
        <w:rPr>
          <w:sz w:val="21"/>
          <w:szCs w:val="21"/>
        </w:rPr>
        <w:t xml:space="preserve"> JE, Glassman AH et al.</w:t>
      </w:r>
      <w:proofErr w:type="gramEnd"/>
      <w:r w:rsidR="00B76EDF" w:rsidRPr="00BB5419">
        <w:rPr>
          <w:sz w:val="21"/>
          <w:szCs w:val="21"/>
        </w:rPr>
        <w:t xml:space="preserve">   Review of guidelines for dental antibiotic prophylaxis for prevention of endocarditis and prosthetic joint infections and need for dental stewardship.  CID 2019</w:t>
      </w:r>
      <w:proofErr w:type="gramStart"/>
      <w:r w:rsidR="00B76EDF" w:rsidRPr="00BB5419">
        <w:rPr>
          <w:sz w:val="21"/>
          <w:szCs w:val="21"/>
        </w:rPr>
        <w:t xml:space="preserve">; </w:t>
      </w:r>
      <w:r w:rsidR="00B76EDF" w:rsidRPr="00BB5419">
        <w:rPr>
          <w:rFonts w:cs="Arial"/>
          <w:color w:val="000000"/>
          <w:sz w:val="21"/>
          <w:szCs w:val="21"/>
          <w:shd w:val="clear" w:color="auto" w:fill="FFFFFF"/>
        </w:rPr>
        <w:t> </w:t>
      </w:r>
      <w:proofErr w:type="spellStart"/>
      <w:r w:rsidR="00B76EDF" w:rsidRPr="00BB5419">
        <w:rPr>
          <w:rFonts w:cs="Arial"/>
          <w:color w:val="000000"/>
          <w:sz w:val="21"/>
          <w:szCs w:val="21"/>
          <w:shd w:val="clear" w:color="auto" w:fill="FFFFFF"/>
        </w:rPr>
        <w:t>doi</w:t>
      </w:r>
      <w:proofErr w:type="spellEnd"/>
      <w:proofErr w:type="gramEnd"/>
      <w:r w:rsidR="00B76EDF" w:rsidRPr="00BB5419">
        <w:rPr>
          <w:rFonts w:cs="Arial"/>
          <w:color w:val="000000"/>
          <w:sz w:val="21"/>
          <w:szCs w:val="21"/>
          <w:shd w:val="clear" w:color="auto" w:fill="FFFFFF"/>
        </w:rPr>
        <w:t>: 10.1093/</w:t>
      </w:r>
      <w:proofErr w:type="spellStart"/>
      <w:r w:rsidR="00B76EDF" w:rsidRPr="00BB5419">
        <w:rPr>
          <w:rFonts w:cs="Arial"/>
          <w:color w:val="000000"/>
          <w:sz w:val="21"/>
          <w:szCs w:val="21"/>
          <w:shd w:val="clear" w:color="auto" w:fill="FFFFFF"/>
        </w:rPr>
        <w:t>cid</w:t>
      </w:r>
      <w:proofErr w:type="spellEnd"/>
      <w:r w:rsidR="00B76EDF" w:rsidRPr="00BB5419">
        <w:rPr>
          <w:rFonts w:cs="Arial"/>
          <w:color w:val="000000"/>
          <w:sz w:val="21"/>
          <w:szCs w:val="21"/>
          <w:shd w:val="clear" w:color="auto" w:fill="FFFFFF"/>
        </w:rPr>
        <w:t>/ciz1118. [</w:t>
      </w:r>
      <w:proofErr w:type="spellStart"/>
      <w:r w:rsidR="00B76EDF" w:rsidRPr="00BB5419">
        <w:rPr>
          <w:rFonts w:cs="Arial"/>
          <w:color w:val="000000"/>
          <w:sz w:val="21"/>
          <w:szCs w:val="21"/>
          <w:shd w:val="clear" w:color="auto" w:fill="FFFFFF"/>
        </w:rPr>
        <w:t>Epub</w:t>
      </w:r>
      <w:proofErr w:type="spellEnd"/>
      <w:r w:rsidR="00B76EDF" w:rsidRPr="00BB5419">
        <w:rPr>
          <w:rFonts w:cs="Arial"/>
          <w:color w:val="000000"/>
          <w:sz w:val="21"/>
          <w:szCs w:val="21"/>
          <w:shd w:val="clear" w:color="auto" w:fill="FFFFFF"/>
        </w:rPr>
        <w:t xml:space="preserve"> ahead of print]</w:t>
      </w:r>
    </w:p>
    <w:p w14:paraId="4266CC8C" w14:textId="6F71BDA4" w:rsidR="00B76EDF" w:rsidRPr="00BB5419" w:rsidRDefault="003910FD" w:rsidP="0072103A">
      <w:pPr>
        <w:spacing w:after="0" w:line="240" w:lineRule="auto"/>
        <w:rPr>
          <w:rFonts w:cs="Arial"/>
          <w:color w:val="000000"/>
          <w:sz w:val="21"/>
          <w:szCs w:val="21"/>
          <w:shd w:val="clear" w:color="auto" w:fill="FFFFFF"/>
        </w:rPr>
      </w:pPr>
      <w:r w:rsidRPr="00BB5419">
        <w:rPr>
          <w:rFonts w:cs="Arial"/>
          <w:color w:val="000000"/>
          <w:sz w:val="21"/>
          <w:szCs w:val="21"/>
          <w:shd w:val="clear" w:color="auto" w:fill="FFFFFF"/>
          <w:vertAlign w:val="superscript"/>
        </w:rPr>
        <w:t>14</w:t>
      </w:r>
      <w:r w:rsidR="00B76EDF" w:rsidRPr="00BB5419">
        <w:rPr>
          <w:rFonts w:cs="Arial"/>
          <w:color w:val="000000"/>
          <w:sz w:val="21"/>
          <w:szCs w:val="21"/>
          <w:shd w:val="clear" w:color="auto" w:fill="FFFFFF"/>
        </w:rPr>
        <w:t xml:space="preserve">Chen TT, </w:t>
      </w:r>
      <w:proofErr w:type="spellStart"/>
      <w:r w:rsidR="00B76EDF" w:rsidRPr="00BB5419">
        <w:rPr>
          <w:rFonts w:cs="Arial"/>
          <w:color w:val="000000"/>
          <w:sz w:val="21"/>
          <w:szCs w:val="21"/>
          <w:shd w:val="clear" w:color="auto" w:fill="FFFFFF"/>
        </w:rPr>
        <w:t>Yeh</w:t>
      </w:r>
      <w:proofErr w:type="spellEnd"/>
      <w:r w:rsidR="00B76EDF" w:rsidRPr="00BB5419">
        <w:rPr>
          <w:rFonts w:cs="Arial"/>
          <w:color w:val="000000"/>
          <w:sz w:val="21"/>
          <w:szCs w:val="21"/>
          <w:shd w:val="clear" w:color="auto" w:fill="FFFFFF"/>
        </w:rPr>
        <w:t xml:space="preserve"> YC, </w:t>
      </w:r>
      <w:proofErr w:type="spellStart"/>
      <w:r w:rsidR="00B76EDF" w:rsidRPr="00BB5419">
        <w:rPr>
          <w:rFonts w:cs="Arial"/>
          <w:color w:val="000000"/>
          <w:sz w:val="21"/>
          <w:szCs w:val="21"/>
          <w:shd w:val="clear" w:color="auto" w:fill="FFFFFF"/>
        </w:rPr>
        <w:t>Chien</w:t>
      </w:r>
      <w:proofErr w:type="spellEnd"/>
      <w:r w:rsidR="00B76EDF" w:rsidRPr="00BB5419">
        <w:rPr>
          <w:rFonts w:cs="Arial"/>
          <w:color w:val="000000"/>
          <w:sz w:val="21"/>
          <w:szCs w:val="21"/>
          <w:shd w:val="clear" w:color="auto" w:fill="FFFFFF"/>
        </w:rPr>
        <w:t xml:space="preserve"> KL et al.  </w:t>
      </w:r>
      <w:proofErr w:type="gramStart"/>
      <w:r w:rsidR="00B76EDF" w:rsidRPr="00BB5419">
        <w:rPr>
          <w:rFonts w:cs="Arial"/>
          <w:color w:val="000000"/>
          <w:sz w:val="21"/>
          <w:szCs w:val="21"/>
          <w:shd w:val="clear" w:color="auto" w:fill="FFFFFF"/>
        </w:rPr>
        <w:t>Risk of infective endocarditis after dental treatments.</w:t>
      </w:r>
      <w:proofErr w:type="gramEnd"/>
      <w:r w:rsidR="00B76EDF" w:rsidRPr="00BB5419">
        <w:rPr>
          <w:rFonts w:cs="Arial"/>
          <w:color w:val="000000"/>
          <w:sz w:val="21"/>
          <w:szCs w:val="21"/>
          <w:shd w:val="clear" w:color="auto" w:fill="FFFFFF"/>
        </w:rPr>
        <w:t xml:space="preserve">  Circulation 2018; 138(4):356-63.</w:t>
      </w:r>
    </w:p>
    <w:p w14:paraId="7CC1F69D" w14:textId="497E042C" w:rsidR="00B76EDF" w:rsidRPr="00BB5419" w:rsidRDefault="003910FD" w:rsidP="0072103A">
      <w:pPr>
        <w:spacing w:after="0" w:line="240" w:lineRule="auto"/>
        <w:rPr>
          <w:rFonts w:cs="Arial"/>
          <w:color w:val="000000"/>
          <w:sz w:val="21"/>
          <w:szCs w:val="21"/>
          <w:shd w:val="clear" w:color="auto" w:fill="FFFFFF"/>
        </w:rPr>
      </w:pPr>
      <w:proofErr w:type="gramStart"/>
      <w:r w:rsidRPr="00BB5419">
        <w:rPr>
          <w:rFonts w:cs="Arial"/>
          <w:color w:val="000000"/>
          <w:sz w:val="21"/>
          <w:szCs w:val="21"/>
          <w:shd w:val="clear" w:color="auto" w:fill="FFFFFF"/>
          <w:vertAlign w:val="superscript"/>
        </w:rPr>
        <w:t>15</w:t>
      </w:r>
      <w:r w:rsidR="00B76EDF" w:rsidRPr="00BB5419">
        <w:rPr>
          <w:rFonts w:cs="Arial"/>
          <w:color w:val="000000"/>
          <w:sz w:val="21"/>
          <w:szCs w:val="21"/>
          <w:shd w:val="clear" w:color="auto" w:fill="FFFFFF"/>
        </w:rPr>
        <w:t xml:space="preserve">Nishimura RA, Otto CM, </w:t>
      </w:r>
      <w:proofErr w:type="spellStart"/>
      <w:r w:rsidR="00B76EDF" w:rsidRPr="00BB5419">
        <w:rPr>
          <w:rFonts w:cs="Arial"/>
          <w:color w:val="000000"/>
          <w:sz w:val="21"/>
          <w:szCs w:val="21"/>
          <w:shd w:val="clear" w:color="auto" w:fill="FFFFFF"/>
        </w:rPr>
        <w:t>Bonow</w:t>
      </w:r>
      <w:proofErr w:type="spellEnd"/>
      <w:r w:rsidR="00B76EDF" w:rsidRPr="00BB5419">
        <w:rPr>
          <w:rFonts w:cs="Arial"/>
          <w:color w:val="000000"/>
          <w:sz w:val="21"/>
          <w:szCs w:val="21"/>
          <w:shd w:val="clear" w:color="auto" w:fill="FFFFFF"/>
        </w:rPr>
        <w:t xml:space="preserve"> RO et al.</w:t>
      </w:r>
      <w:proofErr w:type="gramEnd"/>
      <w:r w:rsidR="00B76EDF" w:rsidRPr="00BB5419">
        <w:rPr>
          <w:rFonts w:cs="Arial"/>
          <w:color w:val="000000"/>
          <w:sz w:val="21"/>
          <w:szCs w:val="21"/>
          <w:shd w:val="clear" w:color="auto" w:fill="FFFFFF"/>
        </w:rPr>
        <w:t xml:space="preserve">  2017 AHA/ACC Focused update of the 2014 AHA/ACC guideline for the management of patients with valvular heart disease: a report of the ACC/AHA task force on clinical practice guidelines.  J Am </w:t>
      </w:r>
      <w:proofErr w:type="spellStart"/>
      <w:r w:rsidR="00B76EDF" w:rsidRPr="00BB5419">
        <w:rPr>
          <w:rFonts w:cs="Arial"/>
          <w:color w:val="000000"/>
          <w:sz w:val="21"/>
          <w:szCs w:val="21"/>
          <w:shd w:val="clear" w:color="auto" w:fill="FFFFFF"/>
        </w:rPr>
        <w:t>Coll</w:t>
      </w:r>
      <w:proofErr w:type="spellEnd"/>
      <w:r w:rsidR="00B76EDF" w:rsidRPr="00BB5419">
        <w:rPr>
          <w:rFonts w:cs="Arial"/>
          <w:color w:val="000000"/>
          <w:sz w:val="21"/>
          <w:szCs w:val="21"/>
          <w:shd w:val="clear" w:color="auto" w:fill="FFFFFF"/>
        </w:rPr>
        <w:t xml:space="preserve"> </w:t>
      </w:r>
      <w:proofErr w:type="spellStart"/>
      <w:r w:rsidR="00B76EDF" w:rsidRPr="00BB5419">
        <w:rPr>
          <w:rFonts w:cs="Arial"/>
          <w:color w:val="000000"/>
          <w:sz w:val="21"/>
          <w:szCs w:val="21"/>
          <w:shd w:val="clear" w:color="auto" w:fill="FFFFFF"/>
        </w:rPr>
        <w:t>Cardiol</w:t>
      </w:r>
      <w:proofErr w:type="spellEnd"/>
      <w:r w:rsidR="00B76EDF" w:rsidRPr="00BB5419">
        <w:rPr>
          <w:rFonts w:cs="Arial"/>
          <w:color w:val="000000"/>
          <w:sz w:val="21"/>
          <w:szCs w:val="21"/>
          <w:shd w:val="clear" w:color="auto" w:fill="FFFFFF"/>
        </w:rPr>
        <w:t xml:space="preserve"> 2017</w:t>
      </w:r>
      <w:proofErr w:type="gramStart"/>
      <w:r w:rsidR="00B76EDF" w:rsidRPr="00BB5419">
        <w:rPr>
          <w:rFonts w:cs="Arial"/>
          <w:color w:val="000000"/>
          <w:sz w:val="21"/>
          <w:szCs w:val="21"/>
          <w:shd w:val="clear" w:color="auto" w:fill="FFFFFF"/>
        </w:rPr>
        <w:t>;70</w:t>
      </w:r>
      <w:proofErr w:type="gramEnd"/>
      <w:r w:rsidR="00B76EDF" w:rsidRPr="00BB5419">
        <w:rPr>
          <w:rFonts w:cs="Arial"/>
          <w:color w:val="000000"/>
          <w:sz w:val="21"/>
          <w:szCs w:val="21"/>
          <w:shd w:val="clear" w:color="auto" w:fill="FFFFFF"/>
        </w:rPr>
        <w:t>(2):252-89.</w:t>
      </w:r>
    </w:p>
    <w:p w14:paraId="381EEA7C" w14:textId="355BE856" w:rsidR="00B76EDF" w:rsidRPr="00BB5419" w:rsidRDefault="003910FD" w:rsidP="0072103A">
      <w:pPr>
        <w:spacing w:after="0" w:line="240" w:lineRule="auto"/>
        <w:rPr>
          <w:rFonts w:cs="Arial"/>
          <w:color w:val="000000"/>
          <w:sz w:val="21"/>
          <w:szCs w:val="21"/>
          <w:shd w:val="clear" w:color="auto" w:fill="FFFFFF"/>
        </w:rPr>
      </w:pPr>
      <w:r w:rsidRPr="00BB5419">
        <w:rPr>
          <w:rFonts w:cs="Arial"/>
          <w:color w:val="000000"/>
          <w:sz w:val="21"/>
          <w:szCs w:val="21"/>
          <w:shd w:val="clear" w:color="auto" w:fill="FFFFFF"/>
          <w:vertAlign w:val="superscript"/>
        </w:rPr>
        <w:t>16</w:t>
      </w:r>
      <w:r w:rsidR="00B76EDF" w:rsidRPr="00BB5419">
        <w:rPr>
          <w:rFonts w:cs="Arial"/>
          <w:color w:val="000000"/>
          <w:sz w:val="21"/>
          <w:szCs w:val="21"/>
          <w:shd w:val="clear" w:color="auto" w:fill="FFFFFF"/>
        </w:rPr>
        <w:t xml:space="preserve">Sollecito TP, </w:t>
      </w:r>
      <w:proofErr w:type="spellStart"/>
      <w:r w:rsidR="00B76EDF" w:rsidRPr="00BB5419">
        <w:rPr>
          <w:rFonts w:cs="Arial"/>
          <w:color w:val="000000"/>
          <w:sz w:val="21"/>
          <w:szCs w:val="21"/>
          <w:shd w:val="clear" w:color="auto" w:fill="FFFFFF"/>
        </w:rPr>
        <w:t>Abt</w:t>
      </w:r>
      <w:proofErr w:type="spellEnd"/>
      <w:r w:rsidR="00B76EDF" w:rsidRPr="00BB5419">
        <w:rPr>
          <w:rFonts w:cs="Arial"/>
          <w:color w:val="000000"/>
          <w:sz w:val="21"/>
          <w:szCs w:val="21"/>
          <w:shd w:val="clear" w:color="auto" w:fill="FFFFFF"/>
        </w:rPr>
        <w:t xml:space="preserve"> E, Lockhart PB et al.  The use of prophylactic antibiotics prior to dental procedures in patients with prosthetic joints: Evidence-based clinical practice guideline for dental practitioners – a report of the American Dental Association Council on Scientific Affairs.  JADA 2015</w:t>
      </w:r>
      <w:proofErr w:type="gramStart"/>
      <w:r w:rsidR="00B76EDF" w:rsidRPr="00BB5419">
        <w:rPr>
          <w:rFonts w:cs="Arial"/>
          <w:color w:val="000000"/>
          <w:sz w:val="21"/>
          <w:szCs w:val="21"/>
          <w:shd w:val="clear" w:color="auto" w:fill="FFFFFF"/>
        </w:rPr>
        <w:t>;146</w:t>
      </w:r>
      <w:proofErr w:type="gramEnd"/>
      <w:r w:rsidR="00B76EDF" w:rsidRPr="00BB5419">
        <w:rPr>
          <w:rFonts w:cs="Arial"/>
          <w:color w:val="000000"/>
          <w:sz w:val="21"/>
          <w:szCs w:val="21"/>
          <w:shd w:val="clear" w:color="auto" w:fill="FFFFFF"/>
        </w:rPr>
        <w:t>(1):11-6 e8.</w:t>
      </w:r>
    </w:p>
    <w:p w14:paraId="15165DDB" w14:textId="4B46EA76" w:rsidR="00B76EDF" w:rsidRPr="00BB5419" w:rsidRDefault="003910FD" w:rsidP="0072103A">
      <w:pPr>
        <w:spacing w:after="0" w:line="240" w:lineRule="auto"/>
        <w:rPr>
          <w:rFonts w:cs="Arial"/>
          <w:color w:val="000000"/>
          <w:sz w:val="21"/>
          <w:szCs w:val="21"/>
          <w:shd w:val="clear" w:color="auto" w:fill="FFFFFF"/>
        </w:rPr>
      </w:pPr>
      <w:proofErr w:type="gramStart"/>
      <w:r w:rsidRPr="00BB5419">
        <w:rPr>
          <w:rFonts w:cs="Arial"/>
          <w:color w:val="000000"/>
          <w:sz w:val="21"/>
          <w:szCs w:val="21"/>
          <w:shd w:val="clear" w:color="auto" w:fill="FFFFFF"/>
          <w:vertAlign w:val="superscript"/>
        </w:rPr>
        <w:t>17</w:t>
      </w:r>
      <w:r w:rsidR="00B76EDF" w:rsidRPr="00BB5419">
        <w:rPr>
          <w:rFonts w:cs="Arial"/>
          <w:color w:val="000000"/>
          <w:sz w:val="21"/>
          <w:szCs w:val="21"/>
          <w:shd w:val="clear" w:color="auto" w:fill="FFFFFF"/>
        </w:rPr>
        <w:t xml:space="preserve">Berbari EF, </w:t>
      </w:r>
      <w:proofErr w:type="spellStart"/>
      <w:r w:rsidR="00B76EDF" w:rsidRPr="00BB5419">
        <w:rPr>
          <w:rFonts w:cs="Arial"/>
          <w:color w:val="000000"/>
          <w:sz w:val="21"/>
          <w:szCs w:val="21"/>
          <w:shd w:val="clear" w:color="auto" w:fill="FFFFFF"/>
        </w:rPr>
        <w:t>Osmon</w:t>
      </w:r>
      <w:proofErr w:type="spellEnd"/>
      <w:r w:rsidR="00B76EDF" w:rsidRPr="00BB5419">
        <w:rPr>
          <w:rFonts w:cs="Arial"/>
          <w:color w:val="000000"/>
          <w:sz w:val="21"/>
          <w:szCs w:val="21"/>
          <w:shd w:val="clear" w:color="auto" w:fill="FFFFFF"/>
        </w:rPr>
        <w:t xml:space="preserve"> DR, </w:t>
      </w:r>
      <w:proofErr w:type="spellStart"/>
      <w:r w:rsidR="00B76EDF" w:rsidRPr="00BB5419">
        <w:rPr>
          <w:rFonts w:cs="Arial"/>
          <w:color w:val="000000"/>
          <w:sz w:val="21"/>
          <w:szCs w:val="21"/>
          <w:shd w:val="clear" w:color="auto" w:fill="FFFFFF"/>
        </w:rPr>
        <w:t>Carr</w:t>
      </w:r>
      <w:proofErr w:type="spellEnd"/>
      <w:r w:rsidR="00B76EDF" w:rsidRPr="00BB5419">
        <w:rPr>
          <w:rFonts w:cs="Arial"/>
          <w:color w:val="000000"/>
          <w:sz w:val="21"/>
          <w:szCs w:val="21"/>
          <w:shd w:val="clear" w:color="auto" w:fill="FFFFFF"/>
        </w:rPr>
        <w:t xml:space="preserve"> A et al.</w:t>
      </w:r>
      <w:proofErr w:type="gramEnd"/>
      <w:r w:rsidR="00B76EDF" w:rsidRPr="00BB5419">
        <w:rPr>
          <w:rFonts w:cs="Arial"/>
          <w:color w:val="000000"/>
          <w:sz w:val="21"/>
          <w:szCs w:val="21"/>
          <w:shd w:val="clear" w:color="auto" w:fill="FFFFFF"/>
        </w:rPr>
        <w:t xml:space="preserve">  Dental procedures as risk factors for prosthetic hip or knee infection: a hospital-based prospective case-control study.  CID 2010; 50(1):8-16.</w:t>
      </w:r>
    </w:p>
    <w:p w14:paraId="161B66FD" w14:textId="334DDDAE" w:rsidR="00B76EDF" w:rsidRPr="00BB5419" w:rsidRDefault="003910FD" w:rsidP="0072103A">
      <w:pPr>
        <w:spacing w:after="0" w:line="240" w:lineRule="auto"/>
        <w:rPr>
          <w:rFonts w:cs="Arial"/>
          <w:color w:val="000000"/>
          <w:sz w:val="21"/>
          <w:szCs w:val="21"/>
          <w:shd w:val="clear" w:color="auto" w:fill="FFFFFF"/>
        </w:rPr>
      </w:pPr>
      <w:proofErr w:type="gramStart"/>
      <w:r w:rsidRPr="00BB5419">
        <w:rPr>
          <w:rFonts w:cs="Arial"/>
          <w:color w:val="000000"/>
          <w:sz w:val="21"/>
          <w:szCs w:val="21"/>
          <w:shd w:val="clear" w:color="auto" w:fill="FFFFFF"/>
          <w:vertAlign w:val="superscript"/>
        </w:rPr>
        <w:t>18</w:t>
      </w:r>
      <w:r w:rsidR="00B76EDF" w:rsidRPr="00BB5419">
        <w:rPr>
          <w:rFonts w:cs="Arial"/>
          <w:color w:val="000000"/>
          <w:sz w:val="21"/>
          <w:szCs w:val="21"/>
          <w:shd w:val="clear" w:color="auto" w:fill="FFFFFF"/>
        </w:rPr>
        <w:t>Skaar DD, O’Connor H, Hodges JS et al.</w:t>
      </w:r>
      <w:proofErr w:type="gramEnd"/>
      <w:r w:rsidR="00B76EDF" w:rsidRPr="00BB5419">
        <w:rPr>
          <w:rFonts w:cs="Arial"/>
          <w:color w:val="000000"/>
          <w:sz w:val="21"/>
          <w:szCs w:val="21"/>
          <w:shd w:val="clear" w:color="auto" w:fill="FFFFFF"/>
        </w:rPr>
        <w:t xml:space="preserve">  Dental procedures and subsequent prosthetic joint infections: findings from the </w:t>
      </w:r>
      <w:proofErr w:type="spellStart"/>
      <w:r w:rsidR="00B76EDF" w:rsidRPr="00BB5419">
        <w:rPr>
          <w:rFonts w:cs="Arial"/>
          <w:color w:val="000000"/>
          <w:sz w:val="21"/>
          <w:szCs w:val="21"/>
          <w:shd w:val="clear" w:color="auto" w:fill="FFFFFF"/>
        </w:rPr>
        <w:t>medicare</w:t>
      </w:r>
      <w:proofErr w:type="spellEnd"/>
      <w:r w:rsidR="00B76EDF" w:rsidRPr="00BB5419">
        <w:rPr>
          <w:rFonts w:cs="Arial"/>
          <w:color w:val="000000"/>
          <w:sz w:val="21"/>
          <w:szCs w:val="21"/>
          <w:shd w:val="clear" w:color="auto" w:fill="FFFFFF"/>
        </w:rPr>
        <w:t xml:space="preserve"> current</w:t>
      </w:r>
      <w:r w:rsidR="00546731" w:rsidRPr="00BB5419">
        <w:rPr>
          <w:rFonts w:cs="Arial"/>
          <w:color w:val="000000"/>
          <w:sz w:val="21"/>
          <w:szCs w:val="21"/>
          <w:shd w:val="clear" w:color="auto" w:fill="FFFFFF"/>
        </w:rPr>
        <w:t xml:space="preserve"> beneficiary </w:t>
      </w:r>
      <w:proofErr w:type="spellStart"/>
      <w:r w:rsidR="00546731" w:rsidRPr="00BB5419">
        <w:rPr>
          <w:rFonts w:cs="Arial"/>
          <w:color w:val="000000"/>
          <w:sz w:val="21"/>
          <w:szCs w:val="21"/>
          <w:shd w:val="clear" w:color="auto" w:fill="FFFFFF"/>
        </w:rPr>
        <w:t>survey.</w:t>
      </w:r>
      <w:r w:rsidR="00B76EDF" w:rsidRPr="00BB5419">
        <w:rPr>
          <w:rFonts w:cs="Arial"/>
          <w:color w:val="000000"/>
          <w:sz w:val="21"/>
          <w:szCs w:val="21"/>
          <w:shd w:val="clear" w:color="auto" w:fill="FFFFFF"/>
        </w:rPr>
        <w:t>JADA</w:t>
      </w:r>
      <w:proofErr w:type="spellEnd"/>
      <w:r w:rsidR="00B76EDF" w:rsidRPr="00BB5419">
        <w:rPr>
          <w:rFonts w:cs="Arial"/>
          <w:color w:val="000000"/>
          <w:sz w:val="21"/>
          <w:szCs w:val="21"/>
          <w:shd w:val="clear" w:color="auto" w:fill="FFFFFF"/>
        </w:rPr>
        <w:t xml:space="preserve"> 2011</w:t>
      </w:r>
      <w:proofErr w:type="gramStart"/>
      <w:r w:rsidR="00B76EDF" w:rsidRPr="00BB5419">
        <w:rPr>
          <w:rFonts w:cs="Arial"/>
          <w:color w:val="000000"/>
          <w:sz w:val="21"/>
          <w:szCs w:val="21"/>
          <w:shd w:val="clear" w:color="auto" w:fill="FFFFFF"/>
        </w:rPr>
        <w:t>;142</w:t>
      </w:r>
      <w:proofErr w:type="gramEnd"/>
      <w:r w:rsidR="00B76EDF" w:rsidRPr="00BB5419">
        <w:rPr>
          <w:rFonts w:cs="Arial"/>
          <w:color w:val="000000"/>
          <w:sz w:val="21"/>
          <w:szCs w:val="21"/>
          <w:shd w:val="clear" w:color="auto" w:fill="FFFFFF"/>
        </w:rPr>
        <w:t>(12):1343-51.</w:t>
      </w:r>
    </w:p>
    <w:p w14:paraId="4C266151" w14:textId="777032EB" w:rsidR="00292A69" w:rsidRPr="00BB5419" w:rsidRDefault="003910FD" w:rsidP="006376DA">
      <w:pPr>
        <w:spacing w:after="0" w:line="240" w:lineRule="auto"/>
        <w:rPr>
          <w:rFonts w:cs="Arial"/>
          <w:color w:val="000000"/>
          <w:sz w:val="21"/>
          <w:szCs w:val="21"/>
          <w:shd w:val="clear" w:color="auto" w:fill="FFFFFF"/>
        </w:rPr>
      </w:pPr>
      <w:r w:rsidRPr="00BB5419">
        <w:rPr>
          <w:rFonts w:cs="Arial"/>
          <w:color w:val="000000"/>
          <w:sz w:val="21"/>
          <w:szCs w:val="21"/>
          <w:shd w:val="clear" w:color="auto" w:fill="FFFFFF"/>
          <w:vertAlign w:val="superscript"/>
        </w:rPr>
        <w:t>19</w:t>
      </w:r>
      <w:r w:rsidR="00B76EDF" w:rsidRPr="00BB5419">
        <w:rPr>
          <w:rFonts w:cs="Arial"/>
          <w:color w:val="000000"/>
          <w:sz w:val="21"/>
          <w:szCs w:val="21"/>
          <w:shd w:val="clear" w:color="auto" w:fill="FFFFFF"/>
        </w:rPr>
        <w:t xml:space="preserve">Swan J, </w:t>
      </w:r>
      <w:proofErr w:type="spellStart"/>
      <w:r w:rsidR="00B76EDF" w:rsidRPr="00BB5419">
        <w:rPr>
          <w:rFonts w:cs="Arial"/>
          <w:color w:val="000000"/>
          <w:sz w:val="21"/>
          <w:szCs w:val="21"/>
          <w:shd w:val="clear" w:color="auto" w:fill="FFFFFF"/>
        </w:rPr>
        <w:t>Dowsey</w:t>
      </w:r>
      <w:proofErr w:type="spellEnd"/>
      <w:r w:rsidR="00B76EDF" w:rsidRPr="00BB5419">
        <w:rPr>
          <w:rFonts w:cs="Arial"/>
          <w:color w:val="000000"/>
          <w:sz w:val="21"/>
          <w:szCs w:val="21"/>
          <w:shd w:val="clear" w:color="auto" w:fill="FFFFFF"/>
        </w:rPr>
        <w:t xml:space="preserve"> M, </w:t>
      </w:r>
      <w:proofErr w:type="spellStart"/>
      <w:r w:rsidR="00B76EDF" w:rsidRPr="00BB5419">
        <w:rPr>
          <w:rFonts w:cs="Arial"/>
          <w:color w:val="000000"/>
          <w:sz w:val="21"/>
          <w:szCs w:val="21"/>
          <w:shd w:val="clear" w:color="auto" w:fill="FFFFFF"/>
        </w:rPr>
        <w:t>Babazadeh</w:t>
      </w:r>
      <w:proofErr w:type="spellEnd"/>
      <w:r w:rsidR="00B76EDF" w:rsidRPr="00BB5419">
        <w:rPr>
          <w:rFonts w:cs="Arial"/>
          <w:color w:val="000000"/>
          <w:sz w:val="21"/>
          <w:szCs w:val="21"/>
          <w:shd w:val="clear" w:color="auto" w:fill="FFFFFF"/>
        </w:rPr>
        <w:t xml:space="preserve"> S et al.  </w:t>
      </w:r>
      <w:proofErr w:type="gramStart"/>
      <w:r w:rsidR="00B76EDF" w:rsidRPr="00BB5419">
        <w:rPr>
          <w:rFonts w:cs="Arial"/>
          <w:color w:val="000000"/>
          <w:sz w:val="21"/>
          <w:szCs w:val="21"/>
          <w:shd w:val="clear" w:color="auto" w:fill="FFFFFF"/>
        </w:rPr>
        <w:t xml:space="preserve">Significance of sentinel infective events in </w:t>
      </w:r>
      <w:proofErr w:type="spellStart"/>
      <w:r w:rsidR="00B76EDF" w:rsidRPr="00BB5419">
        <w:rPr>
          <w:rFonts w:cs="Arial"/>
          <w:color w:val="000000"/>
          <w:sz w:val="21"/>
          <w:szCs w:val="21"/>
          <w:shd w:val="clear" w:color="auto" w:fill="FFFFFF"/>
        </w:rPr>
        <w:t>haematogenous</w:t>
      </w:r>
      <w:proofErr w:type="spellEnd"/>
      <w:r w:rsidR="00B76EDF" w:rsidRPr="00BB5419">
        <w:rPr>
          <w:rFonts w:cs="Arial"/>
          <w:color w:val="000000"/>
          <w:sz w:val="21"/>
          <w:szCs w:val="21"/>
          <w:shd w:val="clear" w:color="auto" w:fill="FFFFFF"/>
        </w:rPr>
        <w:t xml:space="preserve"> prosthetic knee infections.</w:t>
      </w:r>
      <w:proofErr w:type="gramEnd"/>
      <w:r w:rsidR="00B76EDF" w:rsidRPr="00BB5419">
        <w:rPr>
          <w:rFonts w:cs="Arial"/>
          <w:color w:val="000000"/>
          <w:sz w:val="21"/>
          <w:szCs w:val="21"/>
          <w:shd w:val="clear" w:color="auto" w:fill="FFFFFF"/>
        </w:rPr>
        <w:t xml:space="preserve">  ANZ J </w:t>
      </w:r>
      <w:proofErr w:type="spellStart"/>
      <w:r w:rsidR="00B76EDF" w:rsidRPr="00BB5419">
        <w:rPr>
          <w:rFonts w:cs="Arial"/>
          <w:color w:val="000000"/>
          <w:sz w:val="21"/>
          <w:szCs w:val="21"/>
          <w:shd w:val="clear" w:color="auto" w:fill="FFFFFF"/>
        </w:rPr>
        <w:t>Surg</w:t>
      </w:r>
      <w:proofErr w:type="spellEnd"/>
      <w:r w:rsidR="00B76EDF" w:rsidRPr="00BB5419">
        <w:rPr>
          <w:rFonts w:cs="Arial"/>
          <w:color w:val="000000"/>
          <w:sz w:val="21"/>
          <w:szCs w:val="21"/>
          <w:shd w:val="clear" w:color="auto" w:fill="FFFFFF"/>
        </w:rPr>
        <w:t xml:space="preserve"> 2011</w:t>
      </w:r>
      <w:proofErr w:type="gramStart"/>
      <w:r w:rsidR="00B76EDF" w:rsidRPr="00BB5419">
        <w:rPr>
          <w:rFonts w:cs="Arial"/>
          <w:color w:val="000000"/>
          <w:sz w:val="21"/>
          <w:szCs w:val="21"/>
          <w:shd w:val="clear" w:color="auto" w:fill="FFFFFF"/>
        </w:rPr>
        <w:t>;81</w:t>
      </w:r>
      <w:proofErr w:type="gramEnd"/>
      <w:r w:rsidR="00B76EDF" w:rsidRPr="00BB5419">
        <w:rPr>
          <w:rFonts w:cs="Arial"/>
          <w:color w:val="000000"/>
          <w:sz w:val="21"/>
          <w:szCs w:val="21"/>
          <w:shd w:val="clear" w:color="auto" w:fill="FFFFFF"/>
        </w:rPr>
        <w:t>(1-2):40-5.</w:t>
      </w:r>
    </w:p>
    <w:p w14:paraId="1EF8FF5E" w14:textId="7EB2606F" w:rsidR="00965C03" w:rsidRPr="00BB5419" w:rsidRDefault="00965C03" w:rsidP="006376DA">
      <w:pPr>
        <w:spacing w:after="0" w:line="240" w:lineRule="auto"/>
        <w:rPr>
          <w:rFonts w:cs="Arial"/>
          <w:sz w:val="21"/>
          <w:szCs w:val="21"/>
          <w:shd w:val="clear" w:color="auto" w:fill="FFFFFF"/>
        </w:rPr>
      </w:pPr>
      <w:proofErr w:type="gramStart"/>
      <w:r w:rsidRPr="00BB5419">
        <w:rPr>
          <w:rFonts w:cs="Arial"/>
          <w:sz w:val="21"/>
          <w:szCs w:val="21"/>
          <w:shd w:val="clear" w:color="auto" w:fill="FFFFFF"/>
          <w:vertAlign w:val="superscript"/>
        </w:rPr>
        <w:t>20</w:t>
      </w:r>
      <w:r w:rsidRPr="00BB5419">
        <w:rPr>
          <w:rFonts w:cs="Arial"/>
          <w:sz w:val="21"/>
          <w:szCs w:val="21"/>
          <w:shd w:val="clear" w:color="auto" w:fill="FFFFFF"/>
        </w:rPr>
        <w:t>American Association of Orthopedic Surgeons.</w:t>
      </w:r>
      <w:proofErr w:type="gramEnd"/>
      <w:r w:rsidRPr="00BB5419">
        <w:rPr>
          <w:rFonts w:cs="Arial"/>
          <w:sz w:val="21"/>
          <w:szCs w:val="21"/>
          <w:shd w:val="clear" w:color="auto" w:fill="FFFFFF"/>
        </w:rPr>
        <w:t xml:space="preserve">  </w:t>
      </w:r>
      <w:proofErr w:type="gramStart"/>
      <w:r w:rsidRPr="00BB5419">
        <w:rPr>
          <w:rFonts w:cs="Arial"/>
          <w:sz w:val="21"/>
          <w:szCs w:val="21"/>
          <w:shd w:val="clear" w:color="auto" w:fill="FFFFFF"/>
        </w:rPr>
        <w:t xml:space="preserve">Appropriate Use Criteria for the Management of Patient with </w:t>
      </w:r>
      <w:proofErr w:type="spellStart"/>
      <w:r w:rsidRPr="00BB5419">
        <w:rPr>
          <w:rFonts w:cs="Arial"/>
          <w:sz w:val="21"/>
          <w:szCs w:val="21"/>
          <w:shd w:val="clear" w:color="auto" w:fill="FFFFFF"/>
        </w:rPr>
        <w:t>Orthopaedic</w:t>
      </w:r>
      <w:proofErr w:type="spellEnd"/>
      <w:r w:rsidRPr="00BB5419">
        <w:rPr>
          <w:rFonts w:cs="Arial"/>
          <w:sz w:val="21"/>
          <w:szCs w:val="21"/>
          <w:shd w:val="clear" w:color="auto" w:fill="FFFFFF"/>
        </w:rPr>
        <w:t xml:space="preserve"> Implants Undergoing Dental Procedures.</w:t>
      </w:r>
      <w:proofErr w:type="gramEnd"/>
    </w:p>
    <w:p w14:paraId="62CA5E2F" w14:textId="0A315514" w:rsidR="00965C03" w:rsidRPr="00BB5419" w:rsidRDefault="00965C03" w:rsidP="006376DA">
      <w:pPr>
        <w:spacing w:after="0" w:line="240" w:lineRule="auto"/>
        <w:rPr>
          <w:sz w:val="21"/>
          <w:szCs w:val="21"/>
        </w:rPr>
      </w:pPr>
      <w:r w:rsidRPr="00BB5419">
        <w:rPr>
          <w:sz w:val="21"/>
          <w:szCs w:val="21"/>
        </w:rPr>
        <w:t xml:space="preserve">Available at: </w:t>
      </w:r>
      <w:hyperlink r:id="rId10" w:history="1">
        <w:r w:rsidRPr="00BB5419">
          <w:rPr>
            <w:rStyle w:val="Hyperlink"/>
            <w:color w:val="auto"/>
            <w:sz w:val="21"/>
            <w:szCs w:val="21"/>
            <w:u w:val="none"/>
          </w:rPr>
          <w:t>https://www.aaos.org/uploadedFiles/PreProduction/Quality/AUCs_and_Performance _Measures/appropriate_use/auc-patients-with-orthopaedic-implants-dental-procedures.pdf</w:t>
        </w:r>
      </w:hyperlink>
      <w:r w:rsidRPr="00BB5419">
        <w:rPr>
          <w:sz w:val="21"/>
          <w:szCs w:val="21"/>
        </w:rPr>
        <w:t>.</w:t>
      </w:r>
    </w:p>
    <w:p w14:paraId="46B95616" w14:textId="714C5661" w:rsidR="00965C03" w:rsidRPr="00BB5419" w:rsidRDefault="00965C03" w:rsidP="006376DA">
      <w:pPr>
        <w:spacing w:after="0" w:line="240" w:lineRule="auto"/>
        <w:rPr>
          <w:rFonts w:cs="Arial"/>
          <w:color w:val="000000"/>
          <w:sz w:val="21"/>
          <w:szCs w:val="21"/>
          <w:shd w:val="clear" w:color="auto" w:fill="FFFFFF"/>
        </w:rPr>
      </w:pPr>
    </w:p>
    <w:sectPr w:rsidR="00965C03" w:rsidRPr="00BB5419" w:rsidSect="007857C8">
      <w:footerReference w:type="default" r:id="rId1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14D72E" w15:done="0"/>
  <w15:commentEx w15:paraId="48065AC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2A593" w14:textId="77777777" w:rsidR="00B2281A" w:rsidRDefault="00B2281A" w:rsidP="002F72B5">
      <w:pPr>
        <w:spacing w:after="0" w:line="240" w:lineRule="auto"/>
      </w:pPr>
      <w:r>
        <w:separator/>
      </w:r>
    </w:p>
  </w:endnote>
  <w:endnote w:type="continuationSeparator" w:id="0">
    <w:p w14:paraId="4FA842D9" w14:textId="77777777" w:rsidR="00B2281A" w:rsidRDefault="00B2281A" w:rsidP="002F7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altName w:val="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330888"/>
      <w:docPartObj>
        <w:docPartGallery w:val="Page Numbers (Bottom of Page)"/>
        <w:docPartUnique/>
      </w:docPartObj>
    </w:sdtPr>
    <w:sdtEndPr>
      <w:rPr>
        <w:noProof/>
      </w:rPr>
    </w:sdtEndPr>
    <w:sdtContent>
      <w:p w14:paraId="0A33C714" w14:textId="7A738CD6" w:rsidR="002662EE" w:rsidRDefault="002662EE">
        <w:pPr>
          <w:pStyle w:val="Footer"/>
          <w:jc w:val="right"/>
        </w:pPr>
        <w:r>
          <w:fldChar w:fldCharType="begin"/>
        </w:r>
        <w:r>
          <w:instrText xml:space="preserve"> PAGE   \* MERGEFORMAT </w:instrText>
        </w:r>
        <w:r>
          <w:fldChar w:fldCharType="separate"/>
        </w:r>
        <w:r w:rsidR="0051430B">
          <w:rPr>
            <w:noProof/>
          </w:rPr>
          <w:t>1</w:t>
        </w:r>
        <w:r>
          <w:rPr>
            <w:noProof/>
          </w:rPr>
          <w:fldChar w:fldCharType="end"/>
        </w:r>
      </w:p>
    </w:sdtContent>
  </w:sdt>
  <w:p w14:paraId="56E81B87" w14:textId="77777777" w:rsidR="002662EE" w:rsidRDefault="002662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BA9D7" w14:textId="77777777" w:rsidR="00B2281A" w:rsidRDefault="00B2281A" w:rsidP="002F72B5">
      <w:pPr>
        <w:spacing w:after="0" w:line="240" w:lineRule="auto"/>
      </w:pPr>
      <w:r>
        <w:separator/>
      </w:r>
    </w:p>
  </w:footnote>
  <w:footnote w:type="continuationSeparator" w:id="0">
    <w:p w14:paraId="25812D95" w14:textId="77777777" w:rsidR="00B2281A" w:rsidRDefault="00B2281A" w:rsidP="002F72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B1C73"/>
    <w:multiLevelType w:val="hybridMultilevel"/>
    <w:tmpl w:val="2582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456D59"/>
    <w:multiLevelType w:val="hybridMultilevel"/>
    <w:tmpl w:val="96D61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wan, Susan A">
    <w15:presenceInfo w15:providerId="AD" w15:userId="S-1-5-21-1454471165-2000478354-1801674531-43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292"/>
    <w:rsid w:val="00010A64"/>
    <w:rsid w:val="00012BD9"/>
    <w:rsid w:val="00060A90"/>
    <w:rsid w:val="0006246E"/>
    <w:rsid w:val="00073719"/>
    <w:rsid w:val="00092CBC"/>
    <w:rsid w:val="000943F7"/>
    <w:rsid w:val="000B2552"/>
    <w:rsid w:val="000E7821"/>
    <w:rsid w:val="000F41AF"/>
    <w:rsid w:val="000F5CBD"/>
    <w:rsid w:val="0015557E"/>
    <w:rsid w:val="001B0C1A"/>
    <w:rsid w:val="002169B2"/>
    <w:rsid w:val="002569AD"/>
    <w:rsid w:val="00265618"/>
    <w:rsid w:val="002662EE"/>
    <w:rsid w:val="0028575B"/>
    <w:rsid w:val="00292A69"/>
    <w:rsid w:val="00297234"/>
    <w:rsid w:val="002C5D06"/>
    <w:rsid w:val="002F72B5"/>
    <w:rsid w:val="003372F6"/>
    <w:rsid w:val="00344574"/>
    <w:rsid w:val="00377F4F"/>
    <w:rsid w:val="003859E8"/>
    <w:rsid w:val="003910FD"/>
    <w:rsid w:val="003B5FBB"/>
    <w:rsid w:val="00412C6C"/>
    <w:rsid w:val="00412E10"/>
    <w:rsid w:val="004A666E"/>
    <w:rsid w:val="004D4E17"/>
    <w:rsid w:val="004D54D0"/>
    <w:rsid w:val="0051430B"/>
    <w:rsid w:val="00526E67"/>
    <w:rsid w:val="00546731"/>
    <w:rsid w:val="00597BDD"/>
    <w:rsid w:val="005B265C"/>
    <w:rsid w:val="005D2067"/>
    <w:rsid w:val="005E2C95"/>
    <w:rsid w:val="005E48F7"/>
    <w:rsid w:val="006376DA"/>
    <w:rsid w:val="006A5AEF"/>
    <w:rsid w:val="006C4292"/>
    <w:rsid w:val="00704317"/>
    <w:rsid w:val="0071690B"/>
    <w:rsid w:val="0072103A"/>
    <w:rsid w:val="00746F9A"/>
    <w:rsid w:val="00747F17"/>
    <w:rsid w:val="0075125D"/>
    <w:rsid w:val="00784E97"/>
    <w:rsid w:val="007857C8"/>
    <w:rsid w:val="007D75ED"/>
    <w:rsid w:val="007E439F"/>
    <w:rsid w:val="00820BC2"/>
    <w:rsid w:val="008602C4"/>
    <w:rsid w:val="00872D37"/>
    <w:rsid w:val="00883C82"/>
    <w:rsid w:val="008B40CB"/>
    <w:rsid w:val="008C20FE"/>
    <w:rsid w:val="008F775D"/>
    <w:rsid w:val="00911C8E"/>
    <w:rsid w:val="009171E7"/>
    <w:rsid w:val="00922B88"/>
    <w:rsid w:val="00922D55"/>
    <w:rsid w:val="00925C95"/>
    <w:rsid w:val="00955D44"/>
    <w:rsid w:val="009573DA"/>
    <w:rsid w:val="009640B4"/>
    <w:rsid w:val="00965C03"/>
    <w:rsid w:val="009D243E"/>
    <w:rsid w:val="00A133A0"/>
    <w:rsid w:val="00A312F4"/>
    <w:rsid w:val="00A54C15"/>
    <w:rsid w:val="00A82309"/>
    <w:rsid w:val="00AB361B"/>
    <w:rsid w:val="00AB5288"/>
    <w:rsid w:val="00AF5B6F"/>
    <w:rsid w:val="00B05056"/>
    <w:rsid w:val="00B1074F"/>
    <w:rsid w:val="00B2281A"/>
    <w:rsid w:val="00B65F24"/>
    <w:rsid w:val="00B76EDF"/>
    <w:rsid w:val="00BB5419"/>
    <w:rsid w:val="00BE3F76"/>
    <w:rsid w:val="00BF1D17"/>
    <w:rsid w:val="00C160B5"/>
    <w:rsid w:val="00C23B29"/>
    <w:rsid w:val="00C579F5"/>
    <w:rsid w:val="00C849D4"/>
    <w:rsid w:val="00C87318"/>
    <w:rsid w:val="00C92A7C"/>
    <w:rsid w:val="00CD0AF5"/>
    <w:rsid w:val="00CF0FEE"/>
    <w:rsid w:val="00CF6DC2"/>
    <w:rsid w:val="00D026E4"/>
    <w:rsid w:val="00D23848"/>
    <w:rsid w:val="00D61DE2"/>
    <w:rsid w:val="00D81C89"/>
    <w:rsid w:val="00D8361E"/>
    <w:rsid w:val="00DF6D95"/>
    <w:rsid w:val="00E17785"/>
    <w:rsid w:val="00E32E06"/>
    <w:rsid w:val="00E432FE"/>
    <w:rsid w:val="00E70FBF"/>
    <w:rsid w:val="00E85146"/>
    <w:rsid w:val="00EA6712"/>
    <w:rsid w:val="00EB4498"/>
    <w:rsid w:val="00EC0F10"/>
    <w:rsid w:val="00ED385B"/>
    <w:rsid w:val="00EF30B9"/>
    <w:rsid w:val="00F24CD9"/>
    <w:rsid w:val="00F2658D"/>
    <w:rsid w:val="00F2706D"/>
    <w:rsid w:val="00F36DE3"/>
    <w:rsid w:val="00F7582B"/>
    <w:rsid w:val="00F80874"/>
    <w:rsid w:val="00F83857"/>
    <w:rsid w:val="00FE3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0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E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6ED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76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6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EDF"/>
    <w:rPr>
      <w:rFonts w:ascii="Tahoma" w:hAnsi="Tahoma" w:cs="Tahoma"/>
      <w:sz w:val="16"/>
      <w:szCs w:val="16"/>
    </w:rPr>
  </w:style>
  <w:style w:type="paragraph" w:styleId="Header">
    <w:name w:val="header"/>
    <w:basedOn w:val="Normal"/>
    <w:link w:val="HeaderChar"/>
    <w:uiPriority w:val="99"/>
    <w:unhideWhenUsed/>
    <w:rsid w:val="002F72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B5"/>
  </w:style>
  <w:style w:type="paragraph" w:styleId="Footer">
    <w:name w:val="footer"/>
    <w:basedOn w:val="Normal"/>
    <w:link w:val="FooterChar"/>
    <w:uiPriority w:val="99"/>
    <w:unhideWhenUsed/>
    <w:rsid w:val="002F72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B5"/>
  </w:style>
  <w:style w:type="paragraph" w:styleId="ListParagraph">
    <w:name w:val="List Paragraph"/>
    <w:basedOn w:val="Normal"/>
    <w:uiPriority w:val="34"/>
    <w:qFormat/>
    <w:rsid w:val="00E32E06"/>
    <w:pPr>
      <w:ind w:left="720"/>
      <w:contextualSpacing/>
    </w:pPr>
  </w:style>
  <w:style w:type="character" w:styleId="CommentReference">
    <w:name w:val="annotation reference"/>
    <w:basedOn w:val="DefaultParagraphFont"/>
    <w:uiPriority w:val="99"/>
    <w:semiHidden/>
    <w:unhideWhenUsed/>
    <w:rsid w:val="00D8361E"/>
    <w:rPr>
      <w:sz w:val="16"/>
      <w:szCs w:val="16"/>
    </w:rPr>
  </w:style>
  <w:style w:type="paragraph" w:styleId="CommentText">
    <w:name w:val="annotation text"/>
    <w:basedOn w:val="Normal"/>
    <w:link w:val="CommentTextChar"/>
    <w:uiPriority w:val="99"/>
    <w:semiHidden/>
    <w:unhideWhenUsed/>
    <w:rsid w:val="00D8361E"/>
    <w:pPr>
      <w:spacing w:line="240" w:lineRule="auto"/>
    </w:pPr>
    <w:rPr>
      <w:sz w:val="20"/>
      <w:szCs w:val="20"/>
    </w:rPr>
  </w:style>
  <w:style w:type="character" w:customStyle="1" w:styleId="CommentTextChar">
    <w:name w:val="Comment Text Char"/>
    <w:basedOn w:val="DefaultParagraphFont"/>
    <w:link w:val="CommentText"/>
    <w:uiPriority w:val="99"/>
    <w:semiHidden/>
    <w:rsid w:val="00D8361E"/>
    <w:rPr>
      <w:sz w:val="20"/>
      <w:szCs w:val="20"/>
    </w:rPr>
  </w:style>
  <w:style w:type="paragraph" w:styleId="CommentSubject">
    <w:name w:val="annotation subject"/>
    <w:basedOn w:val="CommentText"/>
    <w:next w:val="CommentText"/>
    <w:link w:val="CommentSubjectChar"/>
    <w:uiPriority w:val="99"/>
    <w:semiHidden/>
    <w:unhideWhenUsed/>
    <w:rsid w:val="00D8361E"/>
    <w:rPr>
      <w:b/>
      <w:bCs/>
    </w:rPr>
  </w:style>
  <w:style w:type="character" w:customStyle="1" w:styleId="CommentSubjectChar">
    <w:name w:val="Comment Subject Char"/>
    <w:basedOn w:val="CommentTextChar"/>
    <w:link w:val="CommentSubject"/>
    <w:uiPriority w:val="99"/>
    <w:semiHidden/>
    <w:rsid w:val="00D8361E"/>
    <w:rPr>
      <w:b/>
      <w:bCs/>
      <w:sz w:val="20"/>
      <w:szCs w:val="20"/>
    </w:rPr>
  </w:style>
  <w:style w:type="paragraph" w:customStyle="1" w:styleId="Default">
    <w:name w:val="Default"/>
    <w:rsid w:val="00784E97"/>
    <w:pPr>
      <w:autoSpaceDE w:val="0"/>
      <w:autoSpaceDN w:val="0"/>
      <w:adjustRightInd w:val="0"/>
      <w:spacing w:after="0" w:line="240" w:lineRule="auto"/>
    </w:pPr>
    <w:rPr>
      <w:rFonts w:ascii="Segoe UI" w:hAnsi="Segoe UI" w:cs="Segoe UI"/>
      <w:color w:val="000000"/>
      <w:sz w:val="24"/>
      <w:szCs w:val="24"/>
    </w:rPr>
  </w:style>
  <w:style w:type="character" w:styleId="Hyperlink">
    <w:name w:val="Hyperlink"/>
    <w:basedOn w:val="DefaultParagraphFont"/>
    <w:uiPriority w:val="99"/>
    <w:unhideWhenUsed/>
    <w:rsid w:val="00965C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E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6ED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76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6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EDF"/>
    <w:rPr>
      <w:rFonts w:ascii="Tahoma" w:hAnsi="Tahoma" w:cs="Tahoma"/>
      <w:sz w:val="16"/>
      <w:szCs w:val="16"/>
    </w:rPr>
  </w:style>
  <w:style w:type="paragraph" w:styleId="Header">
    <w:name w:val="header"/>
    <w:basedOn w:val="Normal"/>
    <w:link w:val="HeaderChar"/>
    <w:uiPriority w:val="99"/>
    <w:unhideWhenUsed/>
    <w:rsid w:val="002F72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B5"/>
  </w:style>
  <w:style w:type="paragraph" w:styleId="Footer">
    <w:name w:val="footer"/>
    <w:basedOn w:val="Normal"/>
    <w:link w:val="FooterChar"/>
    <w:uiPriority w:val="99"/>
    <w:unhideWhenUsed/>
    <w:rsid w:val="002F72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B5"/>
  </w:style>
  <w:style w:type="paragraph" w:styleId="ListParagraph">
    <w:name w:val="List Paragraph"/>
    <w:basedOn w:val="Normal"/>
    <w:uiPriority w:val="34"/>
    <w:qFormat/>
    <w:rsid w:val="00E32E06"/>
    <w:pPr>
      <w:ind w:left="720"/>
      <w:contextualSpacing/>
    </w:pPr>
  </w:style>
  <w:style w:type="character" w:styleId="CommentReference">
    <w:name w:val="annotation reference"/>
    <w:basedOn w:val="DefaultParagraphFont"/>
    <w:uiPriority w:val="99"/>
    <w:semiHidden/>
    <w:unhideWhenUsed/>
    <w:rsid w:val="00D8361E"/>
    <w:rPr>
      <w:sz w:val="16"/>
      <w:szCs w:val="16"/>
    </w:rPr>
  </w:style>
  <w:style w:type="paragraph" w:styleId="CommentText">
    <w:name w:val="annotation text"/>
    <w:basedOn w:val="Normal"/>
    <w:link w:val="CommentTextChar"/>
    <w:uiPriority w:val="99"/>
    <w:semiHidden/>
    <w:unhideWhenUsed/>
    <w:rsid w:val="00D8361E"/>
    <w:pPr>
      <w:spacing w:line="240" w:lineRule="auto"/>
    </w:pPr>
    <w:rPr>
      <w:sz w:val="20"/>
      <w:szCs w:val="20"/>
    </w:rPr>
  </w:style>
  <w:style w:type="character" w:customStyle="1" w:styleId="CommentTextChar">
    <w:name w:val="Comment Text Char"/>
    <w:basedOn w:val="DefaultParagraphFont"/>
    <w:link w:val="CommentText"/>
    <w:uiPriority w:val="99"/>
    <w:semiHidden/>
    <w:rsid w:val="00D8361E"/>
    <w:rPr>
      <w:sz w:val="20"/>
      <w:szCs w:val="20"/>
    </w:rPr>
  </w:style>
  <w:style w:type="paragraph" w:styleId="CommentSubject">
    <w:name w:val="annotation subject"/>
    <w:basedOn w:val="CommentText"/>
    <w:next w:val="CommentText"/>
    <w:link w:val="CommentSubjectChar"/>
    <w:uiPriority w:val="99"/>
    <w:semiHidden/>
    <w:unhideWhenUsed/>
    <w:rsid w:val="00D8361E"/>
    <w:rPr>
      <w:b/>
      <w:bCs/>
    </w:rPr>
  </w:style>
  <w:style w:type="character" w:customStyle="1" w:styleId="CommentSubjectChar">
    <w:name w:val="Comment Subject Char"/>
    <w:basedOn w:val="CommentTextChar"/>
    <w:link w:val="CommentSubject"/>
    <w:uiPriority w:val="99"/>
    <w:semiHidden/>
    <w:rsid w:val="00D8361E"/>
    <w:rPr>
      <w:b/>
      <w:bCs/>
      <w:sz w:val="20"/>
      <w:szCs w:val="20"/>
    </w:rPr>
  </w:style>
  <w:style w:type="paragraph" w:customStyle="1" w:styleId="Default">
    <w:name w:val="Default"/>
    <w:rsid w:val="00784E97"/>
    <w:pPr>
      <w:autoSpaceDE w:val="0"/>
      <w:autoSpaceDN w:val="0"/>
      <w:adjustRightInd w:val="0"/>
      <w:spacing w:after="0" w:line="240" w:lineRule="auto"/>
    </w:pPr>
    <w:rPr>
      <w:rFonts w:ascii="Segoe UI" w:hAnsi="Segoe UI" w:cs="Segoe UI"/>
      <w:color w:val="000000"/>
      <w:sz w:val="24"/>
      <w:szCs w:val="24"/>
    </w:rPr>
  </w:style>
  <w:style w:type="character" w:styleId="Hyperlink">
    <w:name w:val="Hyperlink"/>
    <w:basedOn w:val="DefaultParagraphFont"/>
    <w:uiPriority w:val="99"/>
    <w:unhideWhenUsed/>
    <w:rsid w:val="00965C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aaos.org/uploadedFiles/PreProduction/Quality/AUCs_and_Performance%20_Measures/appropriate_use/auc-patients-with-orthopaedic-implants-dental-procedures.pdf"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2412</Words>
  <Characters>13750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Pavell</dc:creator>
  <cp:lastModifiedBy>Amy Pavell</cp:lastModifiedBy>
  <cp:revision>3</cp:revision>
  <cp:lastPrinted>2020-01-17T14:56:00Z</cp:lastPrinted>
  <dcterms:created xsi:type="dcterms:W3CDTF">2020-02-14T16:44:00Z</dcterms:created>
  <dcterms:modified xsi:type="dcterms:W3CDTF">2020-02-14T16:46:00Z</dcterms:modified>
</cp:coreProperties>
</file>