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C1" w:rsidRDefault="002C04B2" w:rsidP="0094295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C04B2">
        <w:rPr>
          <w:b/>
          <w:sz w:val="36"/>
          <w:szCs w:val="36"/>
        </w:rPr>
        <w:t>Antibiotics don’t cure a toothache!</w:t>
      </w:r>
    </w:p>
    <w:p w:rsidR="002C04B2" w:rsidRPr="00ED295B" w:rsidRDefault="00ED295B" w:rsidP="00ED295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544A9F3" wp14:editId="5638A7B1">
            <wp:extent cx="19335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4"/>
      </w:tblGrid>
      <w:tr w:rsidR="002C04B2" w:rsidTr="00181DA4">
        <w:trPr>
          <w:jc w:val="center"/>
        </w:trPr>
        <w:tc>
          <w:tcPr>
            <w:tcW w:w="3474" w:type="dxa"/>
            <w:shd w:val="clear" w:color="auto" w:fill="00B0F0"/>
          </w:tcPr>
          <w:p w:rsidR="002C04B2" w:rsidRPr="00F50B0C" w:rsidRDefault="002C04B2">
            <w:pPr>
              <w:rPr>
                <w:b/>
              </w:rPr>
            </w:pPr>
            <w:r w:rsidRPr="00F50B0C">
              <w:rPr>
                <w:b/>
                <w:color w:val="FFFFFF" w:themeColor="background1"/>
              </w:rPr>
              <w:t>Adult pain relief recommendations</w:t>
            </w:r>
          </w:p>
        </w:tc>
      </w:tr>
    </w:tbl>
    <w:p w:rsidR="00ED295B" w:rsidRDefault="00ED295B" w:rsidP="00ED295B"/>
    <w:p w:rsidR="00F50B0C" w:rsidRDefault="001167A7">
      <w:r w:rsidRPr="001167A7">
        <w:rPr>
          <w:b/>
          <w:bCs/>
        </w:rPr>
        <w:t>Truth</w:t>
      </w:r>
      <w:r>
        <w:t xml:space="preserve">: </w:t>
      </w:r>
      <w:r w:rsidR="00ED295B">
        <w:t>Pain relief can be used in conjunction with local tooth care received from the dentist.</w:t>
      </w:r>
      <w:r w:rsidR="006A48B4">
        <w:t xml:space="preserve"> </w:t>
      </w:r>
      <w:r w:rsidR="00007149">
        <w:t xml:space="preserve">       </w:t>
      </w:r>
      <w:r w:rsidR="006A48B4">
        <w:t xml:space="preserve">Although opioid medications may </w:t>
      </w:r>
      <w:r w:rsidR="002C1B2C">
        <w:t xml:space="preserve">rarely be indicated for severe, </w:t>
      </w:r>
      <w:r w:rsidR="006A48B4">
        <w:t xml:space="preserve">acute pain or breakthrough pain, evidence demonstrates </w:t>
      </w:r>
      <w:r w:rsidR="002C1B2C">
        <w:t xml:space="preserve">in the vast majority of cases </w:t>
      </w:r>
      <w:r w:rsidR="006A48B4">
        <w:t xml:space="preserve">that non-narcotic regimens </w:t>
      </w:r>
      <w:r w:rsidR="002C1B2C">
        <w:t xml:space="preserve">(over-the-counter acetaminophen and/or ibuprofen) </w:t>
      </w:r>
      <w:r w:rsidR="006A48B4">
        <w:t xml:space="preserve">are </w:t>
      </w:r>
      <w:r w:rsidR="006A48B4" w:rsidRPr="002C1B2C">
        <w:rPr>
          <w:b/>
          <w:i/>
          <w:u w:val="single"/>
        </w:rPr>
        <w:t>superior</w:t>
      </w:r>
      <w:r w:rsidR="006A48B4">
        <w:t xml:space="preserve"> in relieving dental pain.</w:t>
      </w:r>
      <w:r w:rsidR="002C1B2C">
        <w:t xml:space="preserve">  Examples of </w:t>
      </w:r>
      <w:r w:rsidR="005C6C24">
        <w:t>these opioid medications</w:t>
      </w:r>
      <w:r w:rsidR="005E1159">
        <w:t xml:space="preserve"> </w:t>
      </w:r>
      <w:r w:rsidR="00197C81">
        <w:t xml:space="preserve">that are </w:t>
      </w:r>
      <w:r w:rsidR="005E1159">
        <w:t>less effective for dental pain</w:t>
      </w:r>
      <w:r w:rsidR="002C1B2C">
        <w:t>, with more side effects and the potential for addiction, include:  hydrocodone with acetaminophen (brand name Vicodin® or Norco®) or oxycodone with acetaminophen (brand name Percocet®).</w:t>
      </w:r>
    </w:p>
    <w:p w:rsidR="002C04B2" w:rsidRDefault="001167A7">
      <w:r>
        <w:t xml:space="preserve">Here are </w:t>
      </w:r>
      <w:r w:rsidRPr="001167A7">
        <w:rPr>
          <w:b/>
          <w:bCs/>
          <w:i/>
          <w:iCs/>
        </w:rPr>
        <w:t>two</w:t>
      </w:r>
      <w:r>
        <w:t xml:space="preserve"> r</w:t>
      </w:r>
      <w:r w:rsidR="002C04B2">
        <w:t xml:space="preserve">ecommended drug </w:t>
      </w:r>
      <w:r>
        <w:t>regimens</w:t>
      </w:r>
      <w:r w:rsidR="002C04B2">
        <w:t xml:space="preserve"> for dental pain relief in adults:</w:t>
      </w:r>
    </w:p>
    <w:p w:rsidR="001167A7" w:rsidRDefault="001167A7" w:rsidP="001167A7">
      <w:pPr>
        <w:ind w:left="720"/>
        <w:rPr>
          <w:b/>
          <w:bCs/>
        </w:rPr>
        <w:sectPr w:rsidR="001167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04B2" w:rsidRDefault="001167A7" w:rsidP="001167A7">
      <w:pPr>
        <w:ind w:left="720"/>
      </w:pPr>
      <w:r w:rsidRPr="001167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19F056" wp14:editId="044FA4F9">
            <wp:simplePos x="0" y="0"/>
            <wp:positionH relativeFrom="column">
              <wp:posOffset>365760</wp:posOffset>
            </wp:positionH>
            <wp:positionV relativeFrom="paragraph">
              <wp:posOffset>1090930</wp:posOffset>
            </wp:positionV>
            <wp:extent cx="527685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522" y="21420"/>
                <wp:lineTo x="21522" y="0"/>
                <wp:lineTo x="0" y="0"/>
              </wp:wrapPolygon>
            </wp:wrapThrough>
            <wp:docPr id="2" name="Picture 2" descr="Image result for pain scale 0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 scale 0 -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B2" w:rsidRPr="001167A7">
        <w:rPr>
          <w:b/>
          <w:bCs/>
        </w:rPr>
        <w:t xml:space="preserve">Mild to </w:t>
      </w:r>
      <w:r>
        <w:rPr>
          <w:b/>
          <w:bCs/>
        </w:rPr>
        <w:t>M</w:t>
      </w:r>
      <w:r w:rsidR="002C04B2" w:rsidRPr="001167A7">
        <w:rPr>
          <w:b/>
          <w:bCs/>
        </w:rPr>
        <w:t>oderate pain</w:t>
      </w:r>
      <w:r w:rsidR="00685EE5" w:rsidRPr="001167A7">
        <w:rPr>
          <w:b/>
          <w:bCs/>
        </w:rPr>
        <w:t xml:space="preserve">, analgesic </w:t>
      </w:r>
      <w:r w:rsidR="006B3C9D" w:rsidRPr="001167A7">
        <w:rPr>
          <w:b/>
          <w:bCs/>
        </w:rPr>
        <w:t>options</w:t>
      </w:r>
      <w:r w:rsidR="006B3C9D">
        <w:t xml:space="preserve">:  </w:t>
      </w:r>
      <w:r w:rsidR="00685EE5">
        <w:t>acetaminophen</w:t>
      </w:r>
      <w:r w:rsidR="00B0776E">
        <w:t xml:space="preserve"> (brand name Tylenol®)</w:t>
      </w:r>
      <w:r w:rsidR="00D04C17">
        <w:t xml:space="preserve"> </w:t>
      </w:r>
      <w:r w:rsidR="006B3C9D">
        <w:t xml:space="preserve">1000mg four times </w:t>
      </w:r>
      <w:r w:rsidR="0021409A">
        <w:t xml:space="preserve">by mouth </w:t>
      </w:r>
      <w:r w:rsidR="006B3C9D">
        <w:t xml:space="preserve">daily </w:t>
      </w:r>
      <w:r w:rsidR="006B3C9D" w:rsidRPr="00513588">
        <w:rPr>
          <w:b/>
          <w:u w:val="single"/>
        </w:rPr>
        <w:t xml:space="preserve">or </w:t>
      </w:r>
      <w:r w:rsidR="002C04B2">
        <w:t>ibuprofen</w:t>
      </w:r>
      <w:r w:rsidR="00AE0B28">
        <w:t xml:space="preserve"> (Advil® or Motrin®)</w:t>
      </w:r>
      <w:r w:rsidR="002C04B2">
        <w:t xml:space="preserve"> </w:t>
      </w:r>
      <w:r w:rsidR="006B3C9D">
        <w:t xml:space="preserve">400mg </w:t>
      </w:r>
      <w:r w:rsidR="002C04B2">
        <w:t xml:space="preserve">three times </w:t>
      </w:r>
      <w:r w:rsidR="0021409A">
        <w:t xml:space="preserve">by mouth </w:t>
      </w:r>
      <w:r w:rsidR="002C04B2">
        <w:t>daily.</w:t>
      </w:r>
    </w:p>
    <w:p w:rsidR="002C04B2" w:rsidRDefault="002C04B2" w:rsidP="00513588">
      <w:pPr>
        <w:ind w:left="720"/>
      </w:pPr>
      <w:r w:rsidRPr="001167A7">
        <w:rPr>
          <w:b/>
          <w:bCs/>
        </w:rPr>
        <w:t xml:space="preserve">Moderate to </w:t>
      </w:r>
      <w:r w:rsidR="001167A7">
        <w:rPr>
          <w:b/>
          <w:bCs/>
        </w:rPr>
        <w:t>S</w:t>
      </w:r>
      <w:r w:rsidRPr="001167A7">
        <w:rPr>
          <w:b/>
          <w:bCs/>
        </w:rPr>
        <w:t>evere pain</w:t>
      </w:r>
      <w:r w:rsidR="00CB5D9E">
        <w:rPr>
          <w:b/>
          <w:bCs/>
        </w:rPr>
        <w:t>, analgesic option</w:t>
      </w:r>
      <w:r w:rsidRPr="001167A7">
        <w:rPr>
          <w:b/>
          <w:bCs/>
        </w:rPr>
        <w:t>:</w:t>
      </w:r>
      <w:r>
        <w:t xml:space="preserve">  ibuprofen</w:t>
      </w:r>
      <w:r w:rsidR="006B3C9D">
        <w:t xml:space="preserve"> 400-600mg</w:t>
      </w:r>
      <w:r>
        <w:t xml:space="preserve"> three to four times</w:t>
      </w:r>
      <w:r w:rsidR="0021409A">
        <w:t xml:space="preserve"> by mouth</w:t>
      </w:r>
      <w:r>
        <w:t xml:space="preserve"> daily* </w:t>
      </w:r>
      <w:r w:rsidR="00513588" w:rsidRPr="00513588">
        <w:rPr>
          <w:b/>
          <w:u w:val="single"/>
        </w:rPr>
        <w:t>and</w:t>
      </w:r>
      <w:r>
        <w:t xml:space="preserve"> acetaminophen </w:t>
      </w:r>
      <w:r w:rsidR="006B3C9D">
        <w:t xml:space="preserve">1000mg </w:t>
      </w:r>
      <w:r>
        <w:t xml:space="preserve">four times </w:t>
      </w:r>
      <w:r w:rsidR="0021409A">
        <w:t xml:space="preserve">by mouth </w:t>
      </w:r>
      <w:r>
        <w:t>daily.</w:t>
      </w:r>
    </w:p>
    <w:p w:rsidR="001167A7" w:rsidRDefault="001167A7">
      <w:pPr>
        <w:sectPr w:rsidR="001167A7" w:rsidSect="001167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67A7" w:rsidRDefault="001167A7"/>
    <w:p w:rsidR="001167A7" w:rsidRPr="001167A7" w:rsidRDefault="001167A7" w:rsidP="0011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7A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2756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"C:\\var\\folders\\29\\wntpcdf52691gzq4295mt88r0000gn\\T\\com.microsoft.Word\\WebArchiveCopyPasteTempFiles\\Pain_Scale__Arvin61r58.png" \* MERGEFORMAT </w:instrText>
      </w:r>
      <w:r w:rsidRPr="001167A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167A7" w:rsidRDefault="001167A7"/>
    <w:p w:rsidR="002C1B2C" w:rsidRDefault="002C1B2C"/>
    <w:p w:rsidR="002C1B2C" w:rsidRDefault="002C1B2C"/>
    <w:p w:rsidR="002C1B2C" w:rsidRDefault="002C1B2C"/>
    <w:p w:rsidR="002C1B2C" w:rsidRDefault="002C1B2C"/>
    <w:p w:rsidR="002C1B2C" w:rsidRDefault="002C1B2C"/>
    <w:p w:rsidR="00007149" w:rsidRDefault="002C04B2">
      <w:r>
        <w:t xml:space="preserve">*For severe or acute conditions ibuprofen can be prescribed to a maximum of 2.4 grams daily (600mg four times a day).  </w:t>
      </w:r>
      <w:r w:rsidR="002C1B2C">
        <w:t xml:space="preserve">In some select instances, your dentist may prescribe a maximum of 3.2 grams daily (800mg four times a day).  </w:t>
      </w:r>
      <w:r>
        <w:t xml:space="preserve">If you choose to purchase the product over the counter then the maximum dose is 1.2 grams daily (400mg three times a day).  </w:t>
      </w:r>
      <w:r w:rsidR="002C1B2C">
        <w:t xml:space="preserve">See additional information on the back side </w:t>
      </w:r>
      <w:r w:rsidR="002C1B2C">
        <w:sym w:font="Symbol" w:char="F0AE"/>
      </w:r>
    </w:p>
    <w:p w:rsidR="00B1460E" w:rsidRDefault="00B1460E"/>
    <w:p w:rsidR="002C04B2" w:rsidRDefault="002C04B2">
      <w:r>
        <w:t>To minimize confusion, it is recommended that doses of ibuprofen and acetaminophen are taken together.</w:t>
      </w:r>
      <w:r w:rsidR="00D04C17">
        <w:t xml:space="preserve">  Consider having a cell phone alarm act as a reminder to take medication this often.  Additionally, ibuprofen and acetaminophen can be staggered and taken alternating.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71C00" w:rsidTr="00723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071C00" w:rsidRDefault="00071C00">
            <w:r>
              <w:t>Recommended regimens for combining acetaminophen and ibuprofen: preferred option</w:t>
            </w:r>
          </w:p>
        </w:tc>
      </w:tr>
      <w:tr w:rsidR="002C04B2" w:rsidTr="00071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C04B2" w:rsidRPr="006B3C9D" w:rsidRDefault="002C04B2">
            <w:pPr>
              <w:rPr>
                <w:b w:val="0"/>
              </w:rPr>
            </w:pPr>
            <w:r w:rsidRPr="006B3C9D">
              <w:rPr>
                <w:b w:val="0"/>
              </w:rPr>
              <w:t>Breakfast</w:t>
            </w:r>
          </w:p>
        </w:tc>
        <w:tc>
          <w:tcPr>
            <w:tcW w:w="2394" w:type="dxa"/>
          </w:tcPr>
          <w:p w:rsidR="002C04B2" w:rsidRDefault="002C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394" w:type="dxa"/>
          </w:tcPr>
          <w:p w:rsidR="002C04B2" w:rsidRDefault="002C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Dinner</w:t>
            </w:r>
          </w:p>
        </w:tc>
        <w:tc>
          <w:tcPr>
            <w:tcW w:w="2394" w:type="dxa"/>
          </w:tcPr>
          <w:p w:rsidR="002C04B2" w:rsidRDefault="002C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Before Bedtime</w:t>
            </w:r>
          </w:p>
        </w:tc>
      </w:tr>
      <w:tr w:rsidR="002C04B2" w:rsidTr="00071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C04B2" w:rsidRPr="006B3C9D" w:rsidRDefault="00FD30C7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="002C04B2" w:rsidRPr="006B3C9D">
              <w:rPr>
                <w:b w:val="0"/>
              </w:rPr>
              <w:t>cetaminophen</w:t>
            </w:r>
            <w:r>
              <w:rPr>
                <w:b w:val="0"/>
              </w:rPr>
              <w:t xml:space="preserve"> 1000mg</w:t>
            </w:r>
          </w:p>
        </w:tc>
        <w:tc>
          <w:tcPr>
            <w:tcW w:w="2394" w:type="dxa"/>
          </w:tcPr>
          <w:p w:rsidR="002C04B2" w:rsidRDefault="00FD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2C04B2">
              <w:t>cetaminophen</w:t>
            </w:r>
            <w:r>
              <w:t xml:space="preserve"> 1000mg</w:t>
            </w:r>
          </w:p>
        </w:tc>
        <w:tc>
          <w:tcPr>
            <w:tcW w:w="2394" w:type="dxa"/>
          </w:tcPr>
          <w:p w:rsidR="002C04B2" w:rsidRDefault="00FD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2C04B2">
              <w:t>cetaminophen</w:t>
            </w:r>
            <w:r>
              <w:t xml:space="preserve"> 1000mg</w:t>
            </w:r>
          </w:p>
        </w:tc>
        <w:tc>
          <w:tcPr>
            <w:tcW w:w="2394" w:type="dxa"/>
          </w:tcPr>
          <w:p w:rsidR="002C04B2" w:rsidRDefault="00FD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2C04B2">
              <w:t>cetaminophen</w:t>
            </w:r>
            <w:r>
              <w:t xml:space="preserve"> 1000mg</w:t>
            </w:r>
          </w:p>
        </w:tc>
      </w:tr>
      <w:tr w:rsidR="002C04B2" w:rsidTr="00071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C04B2" w:rsidRPr="006B3C9D" w:rsidRDefault="005A30C7">
            <w:pPr>
              <w:rPr>
                <w:b w:val="0"/>
              </w:rPr>
            </w:pPr>
            <w:r>
              <w:rPr>
                <w:b w:val="0"/>
              </w:rPr>
              <w:t>i</w:t>
            </w:r>
            <w:r w:rsidR="002C04B2" w:rsidRPr="006B3C9D">
              <w:rPr>
                <w:b w:val="0"/>
              </w:rPr>
              <w:t>buprofen</w:t>
            </w:r>
            <w:r>
              <w:rPr>
                <w:b w:val="0"/>
              </w:rPr>
              <w:t xml:space="preserve"> </w:t>
            </w:r>
            <w:r w:rsidRPr="006B3C9D">
              <w:rPr>
                <w:b w:val="0"/>
              </w:rPr>
              <w:t>400mg to 600mg</w:t>
            </w:r>
          </w:p>
        </w:tc>
        <w:tc>
          <w:tcPr>
            <w:tcW w:w="2394" w:type="dxa"/>
          </w:tcPr>
          <w:p w:rsidR="002C04B2" w:rsidRPr="005A30C7" w:rsidRDefault="005A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0C7">
              <w:t>ibuprofen 400mg to 600mg</w:t>
            </w:r>
          </w:p>
        </w:tc>
        <w:tc>
          <w:tcPr>
            <w:tcW w:w="2394" w:type="dxa"/>
          </w:tcPr>
          <w:p w:rsidR="002C04B2" w:rsidRPr="005A30C7" w:rsidRDefault="005A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0C7">
              <w:t>ibuprofen 400mg to 600mg</w:t>
            </w:r>
          </w:p>
        </w:tc>
        <w:tc>
          <w:tcPr>
            <w:tcW w:w="2394" w:type="dxa"/>
          </w:tcPr>
          <w:p w:rsidR="002C04B2" w:rsidRPr="005A30C7" w:rsidRDefault="005A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0C7">
              <w:t>ibuprofen 400mg to 600mg</w:t>
            </w:r>
          </w:p>
        </w:tc>
      </w:tr>
      <w:tr w:rsidR="002C04B2" w:rsidTr="00071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1167A7" w:rsidRPr="00F405A4" w:rsidRDefault="002C04B2" w:rsidP="00F405A4">
            <w:pPr>
              <w:rPr>
                <w:b w:val="0"/>
              </w:rPr>
            </w:pPr>
            <w:r w:rsidRPr="005A30C7">
              <w:rPr>
                <w:b w:val="0"/>
              </w:rPr>
              <w:t>Or the alternative is to stagger the doses of acetaminophen and ibuprofen over 24 hours.</w:t>
            </w:r>
            <w:r w:rsidR="00F405A4">
              <w:rPr>
                <w:b w:val="0"/>
              </w:rPr>
              <w:t xml:space="preserve">    </w:t>
            </w:r>
            <w:r w:rsidR="00F405A4" w:rsidRPr="005A30C7">
              <w:rPr>
                <w:b w:val="0"/>
              </w:rPr>
              <w:t>If this regimen is used, ensure that ibuprofen is taken with food.</w:t>
            </w:r>
            <w:r w:rsidR="00F405A4">
              <w:rPr>
                <w:b w:val="0"/>
              </w:rPr>
              <w:t xml:space="preserve">  Acetaminophen is taken every 4-6 hours, and ibuprofen is taken every 6-8 hours.</w:t>
            </w:r>
            <w:r w:rsidRPr="005A30C7">
              <w:rPr>
                <w:b w:val="0"/>
              </w:rPr>
              <w:t xml:space="preserve">  </w:t>
            </w:r>
          </w:p>
        </w:tc>
      </w:tr>
    </w:tbl>
    <w:p w:rsidR="001167A7" w:rsidRDefault="001167A7" w:rsidP="00F405A4">
      <w:pPr>
        <w:spacing w:after="0" w:line="240" w:lineRule="auto"/>
      </w:pPr>
    </w:p>
    <w:p w:rsidR="00565B80" w:rsidRDefault="00565B80" w:rsidP="00565B80">
      <w:pPr>
        <w:pStyle w:val="ListParagraph"/>
        <w:numPr>
          <w:ilvl w:val="0"/>
          <w:numId w:val="1"/>
        </w:numPr>
      </w:pPr>
      <w:r>
        <w:t>Do not exceed recommended maximum doses:</w:t>
      </w:r>
    </w:p>
    <w:p w:rsidR="00565B80" w:rsidRDefault="00565B80" w:rsidP="00565B80">
      <w:pPr>
        <w:pStyle w:val="ListParagraph"/>
        <w:numPr>
          <w:ilvl w:val="0"/>
          <w:numId w:val="2"/>
        </w:numPr>
      </w:pPr>
      <w:r>
        <w:t>4000mg acetaminophen in a 24 hour  period</w:t>
      </w:r>
    </w:p>
    <w:p w:rsidR="00565B80" w:rsidRDefault="00565B80" w:rsidP="00565B80">
      <w:pPr>
        <w:pStyle w:val="ListParagraph"/>
        <w:numPr>
          <w:ilvl w:val="0"/>
          <w:numId w:val="2"/>
        </w:numPr>
      </w:pPr>
      <w:r>
        <w:t>2400mg ibuprofen in a 24 hour period</w:t>
      </w:r>
      <w:r w:rsidR="002C1B2C">
        <w:t xml:space="preserve"> (in some instances, 3200mg ibuprofen/day) </w:t>
      </w:r>
    </w:p>
    <w:p w:rsidR="00007149" w:rsidRDefault="00565B80" w:rsidP="00DB45FB">
      <w:pPr>
        <w:pStyle w:val="ListParagraph"/>
        <w:numPr>
          <w:ilvl w:val="0"/>
          <w:numId w:val="3"/>
        </w:numPr>
      </w:pPr>
      <w:r>
        <w:t>Before taking pain medications, always tell your dentist or pharmacist what you are already taking or normally take for pain, including any prescribed or over-the-counter remedies.</w:t>
      </w:r>
    </w:p>
    <w:p w:rsidR="00F405A4" w:rsidRDefault="00F405A4" w:rsidP="00F405A4">
      <w:pPr>
        <w:pStyle w:val="ListParagraph"/>
        <w:numPr>
          <w:ilvl w:val="0"/>
          <w:numId w:val="3"/>
        </w:numPr>
        <w:spacing w:after="0" w:line="240" w:lineRule="auto"/>
      </w:pPr>
      <w:r>
        <w:t>Ibuprofen should be taken with food.  Acetaminophen can be taken with or without food.</w:t>
      </w:r>
    </w:p>
    <w:p w:rsidR="00F405A4" w:rsidRDefault="00F405A4" w:rsidP="00F405A4">
      <w:pPr>
        <w:pStyle w:val="ListParagraph"/>
        <w:spacing w:after="0" w:line="240" w:lineRule="auto"/>
      </w:pPr>
    </w:p>
    <w:p w:rsidR="00B1460E" w:rsidRDefault="00B1460E" w:rsidP="00DB45FB"/>
    <w:p w:rsidR="00007149" w:rsidRDefault="00007149" w:rsidP="00DB45FB">
      <w:r>
        <w:t>Additional prescribing precautions for ibuprofen and acetaminophen:</w:t>
      </w:r>
    </w:p>
    <w:p w:rsidR="00007149" w:rsidRDefault="00DB45FB" w:rsidP="00007149">
      <w:pPr>
        <w:pStyle w:val="ListParagraph"/>
        <w:numPr>
          <w:ilvl w:val="0"/>
          <w:numId w:val="3"/>
        </w:numPr>
      </w:pPr>
      <w:r w:rsidRPr="00007149">
        <w:t>Avoid ibuprofen in patients: with a hypersensitivity to aspirin or any other nonsteroidal anti-inflammatory drugs (NSAID) including those who have experienced attacks o</w:t>
      </w:r>
      <w:r w:rsidR="00F405A4">
        <w:t>f asthma</w:t>
      </w:r>
      <w:r w:rsidR="007B40F8">
        <w:t xml:space="preserve"> (difficulty breathing)</w:t>
      </w:r>
      <w:r w:rsidR="00F405A4">
        <w:t>, angioedema</w:t>
      </w:r>
      <w:r w:rsidR="007B40F8">
        <w:t xml:space="preserve"> (acute swelling allergic reaction)</w:t>
      </w:r>
      <w:r w:rsidR="00F405A4">
        <w:t xml:space="preserve">, </w:t>
      </w:r>
      <w:r w:rsidR="007B40F8">
        <w:t>urticaria</w:t>
      </w:r>
      <w:r w:rsidR="00F405A4">
        <w:t xml:space="preserve"> (hives) or rhinitis (runny or itchy nose) </w:t>
      </w:r>
      <w:r w:rsidRPr="00007149">
        <w:t>precipitated by aspirin or another NSAID; with active peptic ulcer disease or history of NSAID-associated ulcer disease; in the third trimester of pregnancy; with severe heart failure; taking any other NSAID painkillers.</w:t>
      </w:r>
      <w:r w:rsidR="00ED295B" w:rsidRPr="00007149">
        <w:t xml:space="preserve"> </w:t>
      </w:r>
    </w:p>
    <w:p w:rsidR="00007149" w:rsidRDefault="00ED295B" w:rsidP="00565B80">
      <w:pPr>
        <w:pStyle w:val="ListParagraph"/>
        <w:numPr>
          <w:ilvl w:val="0"/>
          <w:numId w:val="3"/>
        </w:numPr>
      </w:pPr>
      <w:r w:rsidRPr="00007149">
        <w:t xml:space="preserve"> </w:t>
      </w:r>
      <w:r w:rsidR="00DB45FB" w:rsidRPr="00007149">
        <w:t>Use ibuprofen with caution in patients: with a history of asthma or other allergic disease, bowel problems, ulcerative colitis, Crohn’s disease or connective tissue disorders; patie</w:t>
      </w:r>
      <w:r w:rsidR="007B40F8">
        <w:t>nts with severe renal</w:t>
      </w:r>
      <w:r w:rsidR="00DB45FB" w:rsidRPr="00007149">
        <w:t>, cardiac or hepatic impairment; who are elderly; with uncontrolled hypertension; with coagulation defects or inherited bleeding disorders; in the first 6 months of pregnancy; who are breastfeeding; taking the following medicines:  anticoagulants, antihy</w:t>
      </w:r>
      <w:r w:rsidR="007B40F8">
        <w:t>pertensives, methotrexate, anti</w:t>
      </w:r>
      <w:r w:rsidR="00DB45FB" w:rsidRPr="00007149">
        <w:t>depressant</w:t>
      </w:r>
      <w:r w:rsidR="007B40F8">
        <w:t>s, anti</w:t>
      </w:r>
      <w:r w:rsidR="00DB45FB" w:rsidRPr="00007149">
        <w:t>anxiety medication</w:t>
      </w:r>
      <w:r w:rsidR="007B40F8">
        <w:t>s,</w:t>
      </w:r>
      <w:r w:rsidR="00DB45FB" w:rsidRPr="00007149">
        <w:t xml:space="preserve"> select serotonin reuptake inhibitors (SSRIs),</w:t>
      </w:r>
      <w:r w:rsidR="00007149">
        <w:t xml:space="preserve"> lithium or antiplatelet agents.</w:t>
      </w:r>
    </w:p>
    <w:p w:rsidR="00007149" w:rsidRDefault="00DB45FB" w:rsidP="00565B80">
      <w:pPr>
        <w:pStyle w:val="ListParagraph"/>
        <w:numPr>
          <w:ilvl w:val="0"/>
          <w:numId w:val="3"/>
        </w:numPr>
      </w:pPr>
      <w:r w:rsidRPr="00007149">
        <w:t>Avoid acetaminophen in patients with hypersensitivity to acetaminophen or any of the preparation excipients.</w:t>
      </w:r>
      <w:r w:rsidR="00ED295B" w:rsidRPr="00007149">
        <w:t xml:space="preserve">                         </w:t>
      </w:r>
    </w:p>
    <w:p w:rsidR="00DB45FB" w:rsidRPr="00007149" w:rsidRDefault="00DB45FB" w:rsidP="00565B80">
      <w:pPr>
        <w:pStyle w:val="ListParagraph"/>
        <w:numPr>
          <w:ilvl w:val="0"/>
          <w:numId w:val="3"/>
        </w:numPr>
      </w:pPr>
      <w:r w:rsidRPr="00007149">
        <w:t>Use acetaminophen in caution in patients with severe hepatic or renal impairment.</w:t>
      </w:r>
    </w:p>
    <w:sectPr w:rsidR="00DB45FB" w:rsidRPr="00007149" w:rsidSect="001167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65F77A" w16cid:durableId="21C6FD61"/>
  <w16cid:commentId w16cid:paraId="1961398A" w16cid:durableId="21C6FD77"/>
  <w16cid:commentId w16cid:paraId="5B90C4AF" w16cid:durableId="21C6FBF3"/>
  <w16cid:commentId w16cid:paraId="0DB06E92" w16cid:durableId="21C6FD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5A23"/>
    <w:multiLevelType w:val="hybridMultilevel"/>
    <w:tmpl w:val="8124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F7357"/>
    <w:multiLevelType w:val="hybridMultilevel"/>
    <w:tmpl w:val="8DE2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E206D"/>
    <w:multiLevelType w:val="hybridMultilevel"/>
    <w:tmpl w:val="46C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220AB"/>
    <w:multiLevelType w:val="hybridMultilevel"/>
    <w:tmpl w:val="D3F4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85E9C"/>
    <w:multiLevelType w:val="hybridMultilevel"/>
    <w:tmpl w:val="DB9A3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B2"/>
    <w:rsid w:val="00007149"/>
    <w:rsid w:val="000232F8"/>
    <w:rsid w:val="00071C00"/>
    <w:rsid w:val="000A3D4B"/>
    <w:rsid w:val="001167A7"/>
    <w:rsid w:val="00132BDA"/>
    <w:rsid w:val="00181DA4"/>
    <w:rsid w:val="00197C81"/>
    <w:rsid w:val="001B535E"/>
    <w:rsid w:val="0021409A"/>
    <w:rsid w:val="002C04B2"/>
    <w:rsid w:val="002C1B2C"/>
    <w:rsid w:val="002D1156"/>
    <w:rsid w:val="00453EC0"/>
    <w:rsid w:val="00513588"/>
    <w:rsid w:val="00565B80"/>
    <w:rsid w:val="005A30C7"/>
    <w:rsid w:val="005C6C24"/>
    <w:rsid w:val="005D3398"/>
    <w:rsid w:val="005E1159"/>
    <w:rsid w:val="005F6E7A"/>
    <w:rsid w:val="006717C2"/>
    <w:rsid w:val="00685EE5"/>
    <w:rsid w:val="006A48B4"/>
    <w:rsid w:val="006B3C9D"/>
    <w:rsid w:val="006E7F1D"/>
    <w:rsid w:val="007B40F8"/>
    <w:rsid w:val="00805ACA"/>
    <w:rsid w:val="00817F4B"/>
    <w:rsid w:val="008F7AC1"/>
    <w:rsid w:val="00942952"/>
    <w:rsid w:val="00994306"/>
    <w:rsid w:val="00AE0B28"/>
    <w:rsid w:val="00B01541"/>
    <w:rsid w:val="00B0776E"/>
    <w:rsid w:val="00B1460E"/>
    <w:rsid w:val="00C27563"/>
    <w:rsid w:val="00C53F06"/>
    <w:rsid w:val="00C672CE"/>
    <w:rsid w:val="00CB5D9E"/>
    <w:rsid w:val="00D04C17"/>
    <w:rsid w:val="00D518DD"/>
    <w:rsid w:val="00DB45FB"/>
    <w:rsid w:val="00DF4B3E"/>
    <w:rsid w:val="00DF6695"/>
    <w:rsid w:val="00DF7AB8"/>
    <w:rsid w:val="00E4703E"/>
    <w:rsid w:val="00ED295B"/>
    <w:rsid w:val="00EE5126"/>
    <w:rsid w:val="00F139B5"/>
    <w:rsid w:val="00F27AB8"/>
    <w:rsid w:val="00F405A4"/>
    <w:rsid w:val="00F50B0C"/>
    <w:rsid w:val="00F53A97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B8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817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6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7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B8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817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6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7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Pavell</dc:creator>
  <cp:lastModifiedBy>Amy Pavell</cp:lastModifiedBy>
  <cp:revision>2</cp:revision>
  <dcterms:created xsi:type="dcterms:W3CDTF">2020-02-14T16:50:00Z</dcterms:created>
  <dcterms:modified xsi:type="dcterms:W3CDTF">2020-02-14T16:50:00Z</dcterms:modified>
</cp:coreProperties>
</file>